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D291B" w14:textId="60C9E1D4" w:rsidR="006C1449" w:rsidRDefault="006C1449">
      <w:pPr>
        <w:pStyle w:val="LO-Normal"/>
        <w:spacing w:line="360" w:lineRule="auto"/>
        <w:jc w:val="center"/>
        <w:rPr>
          <w:rFonts w:ascii="Arial" w:hAnsi="Arial" w:cs="Arial"/>
          <w:b/>
          <w:bCs/>
          <w:sz w:val="24"/>
          <w:szCs w:val="24"/>
          <w:u w:val="single"/>
        </w:rPr>
      </w:pPr>
      <w:r>
        <w:rPr>
          <w:rFonts w:ascii="Arial" w:hAnsi="Arial" w:cs="Arial"/>
          <w:b/>
          <w:bCs/>
          <w:sz w:val="24"/>
          <w:szCs w:val="24"/>
          <w:u w:val="single"/>
        </w:rPr>
        <w:t>ANEXO I</w:t>
      </w:r>
    </w:p>
    <w:p w14:paraId="4ECF5913" w14:textId="05E3DE8B" w:rsidR="001A6CDD" w:rsidRDefault="00A40F83">
      <w:pPr>
        <w:pStyle w:val="LO-Normal"/>
        <w:spacing w:line="360" w:lineRule="auto"/>
        <w:jc w:val="center"/>
        <w:rPr>
          <w:rFonts w:ascii="Arial" w:hAnsi="Arial"/>
          <w:sz w:val="24"/>
          <w:szCs w:val="24"/>
        </w:rPr>
      </w:pPr>
      <w:r>
        <w:rPr>
          <w:rFonts w:ascii="Arial" w:hAnsi="Arial" w:cs="Arial"/>
          <w:b/>
          <w:bCs/>
          <w:sz w:val="24"/>
          <w:szCs w:val="24"/>
          <w:u w:val="single"/>
        </w:rPr>
        <w:t>ESTUDO TÉCNICO PRELIMINAR</w:t>
      </w:r>
    </w:p>
    <w:p w14:paraId="03991B87" w14:textId="77777777" w:rsidR="001A6CDD" w:rsidRDefault="001A6CDD">
      <w:pPr>
        <w:pStyle w:val="LO-Normal"/>
        <w:spacing w:line="360" w:lineRule="auto"/>
        <w:jc w:val="center"/>
        <w:rPr>
          <w:rFonts w:ascii="Arial" w:hAnsi="Arial" w:cs="Arial"/>
          <w:sz w:val="24"/>
          <w:szCs w:val="24"/>
        </w:rPr>
      </w:pPr>
    </w:p>
    <w:p w14:paraId="23C1B38E"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1. OBJETIVO</w:t>
      </w:r>
    </w:p>
    <w:p w14:paraId="59121A30" w14:textId="77777777" w:rsidR="001A6CDD" w:rsidRDefault="00A40F83">
      <w:pPr>
        <w:pStyle w:val="LO-Normal"/>
        <w:spacing w:line="360" w:lineRule="auto"/>
        <w:jc w:val="both"/>
      </w:pPr>
      <w:r>
        <w:rPr>
          <w:rFonts w:ascii="Arial" w:hAnsi="Arial" w:cs="Arial"/>
          <w:b/>
          <w:bCs/>
          <w:sz w:val="24"/>
          <w:szCs w:val="24"/>
        </w:rPr>
        <w:t xml:space="preserve">1.1 </w:t>
      </w:r>
      <w:r>
        <w:rPr>
          <w:rFonts w:ascii="Arial" w:hAnsi="Arial" w:cs="Arial"/>
          <w:sz w:val="24"/>
          <w:szCs w:val="24"/>
        </w:rPr>
        <w:t>Trata o presente estudo para atendimento da necessidade de locação de veículos, para atender as Secretarias requisitantes.</w:t>
      </w:r>
    </w:p>
    <w:p w14:paraId="268387D8" w14:textId="77777777" w:rsidR="001A6CDD" w:rsidRDefault="001A6CDD">
      <w:pPr>
        <w:pStyle w:val="LO-Normal"/>
        <w:spacing w:line="360" w:lineRule="auto"/>
        <w:jc w:val="both"/>
        <w:rPr>
          <w:rFonts w:ascii="Arial" w:hAnsi="Arial" w:cs="Arial"/>
          <w:b/>
          <w:bCs/>
          <w:sz w:val="24"/>
          <w:szCs w:val="24"/>
        </w:rPr>
      </w:pPr>
    </w:p>
    <w:p w14:paraId="1EFF2C3B"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 xml:space="preserve">2. DESCRIÇÃO DA NECESSIDADE </w:t>
      </w:r>
    </w:p>
    <w:p w14:paraId="3E50A734" w14:textId="1D9FA416"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 xml:space="preserve">2.1 </w:t>
      </w:r>
      <w:r>
        <w:rPr>
          <w:rFonts w:ascii="Arial" w:hAnsi="Arial" w:cs="Arial"/>
          <w:color w:val="000000"/>
          <w:sz w:val="24"/>
          <w:szCs w:val="24"/>
        </w:rPr>
        <w:t>Visa á contratação devido as demandas de atividades administrativas para atender as necessidades desta</w:t>
      </w:r>
      <w:r>
        <w:rPr>
          <w:rFonts w:ascii="Arial" w:eastAsia="Calibri" w:hAnsi="Arial" w:cs="Arial"/>
          <w:color w:val="000000"/>
          <w:sz w:val="24"/>
          <w:szCs w:val="24"/>
        </w:rPr>
        <w:t>s secretarias</w:t>
      </w:r>
      <w:r>
        <w:rPr>
          <w:rFonts w:ascii="Arial" w:hAnsi="Arial" w:cs="Arial"/>
          <w:color w:val="000000"/>
          <w:sz w:val="24"/>
          <w:szCs w:val="24"/>
        </w:rPr>
        <w:t xml:space="preserve"> com seus respectivos serviços em diversos setores, garantindo a continuidade, eficiência e economicidade na prestação dos serviços públicos.</w:t>
      </w:r>
    </w:p>
    <w:p w14:paraId="372B5294" w14:textId="77777777" w:rsidR="001A6CDD" w:rsidRDefault="001A6CDD">
      <w:pPr>
        <w:pStyle w:val="LO-Normal"/>
        <w:spacing w:line="360" w:lineRule="auto"/>
        <w:jc w:val="both"/>
        <w:rPr>
          <w:rFonts w:ascii="Arial" w:hAnsi="Arial" w:cs="Arial"/>
          <w:color w:val="FF0000"/>
          <w:sz w:val="24"/>
          <w:szCs w:val="24"/>
          <w:highlight w:val="yellow"/>
        </w:rPr>
      </w:pPr>
    </w:p>
    <w:p w14:paraId="140BC5B2"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3. MOTIVAÇÃO DA CONTRATAÇÃO</w:t>
      </w:r>
    </w:p>
    <w:p w14:paraId="22ABED8C" w14:textId="0C2260B0"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3.1.</w:t>
      </w:r>
      <w:r>
        <w:rPr>
          <w:rFonts w:ascii="Arial" w:hAnsi="Arial" w:cs="Arial"/>
          <w:sz w:val="24"/>
          <w:szCs w:val="24"/>
        </w:rPr>
        <w:t xml:space="preserve"> A Contratação é motivada pela inexistência de frota própria adequada ou pela </w:t>
      </w:r>
      <w:r w:rsidR="001669F1">
        <w:rPr>
          <w:rFonts w:ascii="Arial" w:hAnsi="Arial" w:cs="Arial"/>
          <w:sz w:val="24"/>
          <w:szCs w:val="24"/>
        </w:rPr>
        <w:t>impossibilidade</w:t>
      </w:r>
      <w:r>
        <w:rPr>
          <w:rFonts w:ascii="Arial" w:hAnsi="Arial" w:cs="Arial"/>
          <w:sz w:val="24"/>
          <w:szCs w:val="24"/>
        </w:rPr>
        <w:t xml:space="preserve"> técnica/econômica de manter veículos próprios, considerando os custos de aquisição, manutenção, seguro, impostos, depreciação e gestão de frota.</w:t>
      </w:r>
    </w:p>
    <w:p w14:paraId="38C4C9F5"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3.2</w:t>
      </w:r>
      <w:r>
        <w:rPr>
          <w:rFonts w:ascii="Arial" w:hAnsi="Arial" w:cs="Arial"/>
          <w:sz w:val="24"/>
          <w:szCs w:val="24"/>
        </w:rPr>
        <w:t xml:space="preserve"> A locação apresenta-se como alternativa viável e vantajosa, permitindo a renovação de frota, controle de gastos e agilidade na disponibilização dos veículos, conforme demanda das atividades do órgão.</w:t>
      </w:r>
    </w:p>
    <w:p w14:paraId="70849B63" w14:textId="77777777" w:rsidR="001A6CDD" w:rsidRDefault="00A40F83">
      <w:pPr>
        <w:pStyle w:val="LO-Normal"/>
        <w:spacing w:line="360" w:lineRule="auto"/>
        <w:jc w:val="both"/>
      </w:pPr>
      <w:r w:rsidRPr="006C1449">
        <w:rPr>
          <w:rFonts w:ascii="Arial" w:hAnsi="Arial" w:cs="Arial"/>
          <w:b/>
          <w:bCs/>
          <w:sz w:val="24"/>
          <w:szCs w:val="24"/>
        </w:rPr>
        <w:t>3.3</w:t>
      </w:r>
      <w:r>
        <w:rPr>
          <w:rFonts w:ascii="Arial" w:hAnsi="Arial" w:cs="Arial"/>
          <w:sz w:val="24"/>
          <w:szCs w:val="24"/>
        </w:rPr>
        <w:t xml:space="preserve"> Considerando as atribuições desta secretaria que demandam constantes deslocamentos dentro e fora da sede do município para participação em reuniões, eventos oficiais, eventos esportivos e compromissos administrativos, torna-se necessária a locação de um veículo com características que atendam adequadamente às necessidades de mobilidade, segurança e conforto exigidas pela função, justificando a escolha pelas descrições descritas neste estudo.</w:t>
      </w:r>
    </w:p>
    <w:p w14:paraId="2A4A0792" w14:textId="77777777" w:rsidR="001A6CDD" w:rsidRDefault="001A6CDD">
      <w:pPr>
        <w:pStyle w:val="LO-Normal"/>
        <w:spacing w:line="360" w:lineRule="auto"/>
        <w:jc w:val="both"/>
        <w:rPr>
          <w:rFonts w:ascii="Arial" w:hAnsi="Arial" w:cs="Arial"/>
          <w:sz w:val="24"/>
          <w:szCs w:val="24"/>
        </w:rPr>
      </w:pPr>
    </w:p>
    <w:p w14:paraId="75114760"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4. ESPECIFICAÇÃO DO OBJETO</w:t>
      </w:r>
    </w:p>
    <w:p w14:paraId="32EC17D3" w14:textId="77777777" w:rsidR="001A6CDD" w:rsidRDefault="00A40F83">
      <w:pPr>
        <w:pStyle w:val="TableParagraph"/>
        <w:spacing w:line="276" w:lineRule="auto"/>
        <w:jc w:val="both"/>
      </w:pPr>
      <w:r>
        <w:rPr>
          <w:rFonts w:ascii="Arial" w:hAnsi="Arial"/>
          <w:b/>
          <w:bCs/>
          <w:sz w:val="24"/>
          <w:szCs w:val="24"/>
          <w:lang w:eastAsia="pt-BR"/>
        </w:rPr>
        <w:t>VEÍCULO TIPO HATCH:</w:t>
      </w:r>
      <w:r>
        <w:rPr>
          <w:rFonts w:ascii="Arial" w:hAnsi="Arial"/>
          <w:sz w:val="24"/>
          <w:szCs w:val="24"/>
          <w:lang w:eastAsia="pt-BR"/>
        </w:rPr>
        <w:t xml:space="preserve"> Z</w:t>
      </w:r>
      <w:r>
        <w:rPr>
          <w:rFonts w:ascii="Arial" w:hAnsi="Arial"/>
          <w:sz w:val="24"/>
          <w:szCs w:val="24"/>
        </w:rPr>
        <w:t>ero</w:t>
      </w:r>
      <w:r>
        <w:rPr>
          <w:rFonts w:ascii="Arial" w:hAnsi="Arial"/>
          <w:sz w:val="24"/>
          <w:szCs w:val="24"/>
          <w:lang w:eastAsia="pt-BR"/>
        </w:rPr>
        <w:t xml:space="preserve"> </w:t>
      </w:r>
      <w:r>
        <w:rPr>
          <w:rFonts w:ascii="Arial" w:hAnsi="Arial"/>
          <w:sz w:val="24"/>
          <w:szCs w:val="24"/>
        </w:rPr>
        <w:t>quilometro</w:t>
      </w:r>
      <w:r>
        <w:rPr>
          <w:rFonts w:ascii="Arial" w:hAnsi="Arial"/>
          <w:sz w:val="24"/>
          <w:szCs w:val="24"/>
          <w:lang w:eastAsia="pt-BR"/>
        </w:rPr>
        <w:t xml:space="preserve">, sem motorista, Ano Modelo: </w:t>
      </w:r>
      <w:r>
        <w:rPr>
          <w:rFonts w:ascii="Arial" w:hAnsi="Arial"/>
          <w:sz w:val="24"/>
          <w:szCs w:val="24"/>
        </w:rPr>
        <w:t>2026</w:t>
      </w:r>
      <w:r>
        <w:rPr>
          <w:rFonts w:ascii="Arial" w:hAnsi="Arial"/>
          <w:sz w:val="24"/>
          <w:szCs w:val="24"/>
          <w:lang w:eastAsia="pt-BR"/>
        </w:rPr>
        <w:t xml:space="preserve">/2026; </w:t>
      </w:r>
      <w:r>
        <w:rPr>
          <w:rFonts w:ascii="Arial" w:hAnsi="Arial"/>
          <w:sz w:val="24"/>
          <w:szCs w:val="24"/>
        </w:rPr>
        <w:t>Motor</w:t>
      </w:r>
      <w:r>
        <w:rPr>
          <w:rFonts w:ascii="Arial" w:hAnsi="Arial"/>
          <w:sz w:val="24"/>
          <w:szCs w:val="24"/>
          <w:lang w:eastAsia="pt-BR"/>
        </w:rPr>
        <w:t xml:space="preserve">: </w:t>
      </w:r>
      <w:r>
        <w:rPr>
          <w:rFonts w:ascii="Arial" w:hAnsi="Arial"/>
          <w:sz w:val="24"/>
          <w:szCs w:val="24"/>
        </w:rPr>
        <w:t>mínimo</w:t>
      </w:r>
      <w:r>
        <w:rPr>
          <w:rFonts w:ascii="Arial" w:hAnsi="Arial"/>
          <w:sz w:val="24"/>
          <w:szCs w:val="24"/>
          <w:lang w:eastAsia="pt-BR"/>
        </w:rPr>
        <w:t xml:space="preserve"> 1.0, 84 CV Flex; Transmissão: Manual/Automática; Capacidade:  </w:t>
      </w:r>
      <w:r>
        <w:rPr>
          <w:rFonts w:ascii="Arial" w:hAnsi="Arial"/>
          <w:sz w:val="24"/>
          <w:szCs w:val="24"/>
        </w:rPr>
        <w:t>Capacidade para 5</w:t>
      </w:r>
      <w:r>
        <w:rPr>
          <w:rFonts w:ascii="Arial" w:hAnsi="Arial"/>
          <w:sz w:val="24"/>
          <w:szCs w:val="24"/>
          <w:lang w:eastAsia="pt-BR"/>
        </w:rPr>
        <w:t xml:space="preserve"> (</w:t>
      </w:r>
      <w:r>
        <w:rPr>
          <w:rFonts w:ascii="Arial" w:hAnsi="Arial"/>
          <w:sz w:val="24"/>
          <w:szCs w:val="24"/>
        </w:rPr>
        <w:t>cinco</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xml:space="preserve">; 5 </w:t>
      </w:r>
      <w:r>
        <w:rPr>
          <w:rFonts w:ascii="Arial" w:hAnsi="Arial"/>
          <w:sz w:val="24"/>
          <w:szCs w:val="24"/>
        </w:rPr>
        <w:t xml:space="preserve">(cinco) portas, incluindo porra-malas </w:t>
      </w:r>
      <w:r>
        <w:rPr>
          <w:rFonts w:ascii="Arial" w:hAnsi="Arial"/>
          <w:sz w:val="24"/>
          <w:szCs w:val="24"/>
          <w:lang w:eastAsia="pt-BR"/>
        </w:rPr>
        <w:t>Direção: Elétrica ou Hidráulica; Segurança:</w:t>
      </w:r>
      <w:r>
        <w:rPr>
          <w:rFonts w:ascii="Arial" w:hAnsi="Arial"/>
          <w:sz w:val="24"/>
          <w:szCs w:val="24"/>
        </w:rPr>
        <w:t xml:space="preserve"> Freios ABS, Airbags (duplo), Controle de Tração/Estabilidade, Alarme</w:t>
      </w:r>
      <w:r>
        <w:rPr>
          <w:rFonts w:ascii="Arial" w:hAnsi="Arial"/>
          <w:sz w:val="24"/>
          <w:szCs w:val="24"/>
          <w:lang w:eastAsia="pt-BR"/>
        </w:rPr>
        <w:t xml:space="preserve">; Conforto/Tecnologia: </w:t>
      </w:r>
      <w:r>
        <w:rPr>
          <w:rFonts w:ascii="Arial" w:hAnsi="Arial"/>
          <w:sz w:val="24"/>
          <w:szCs w:val="24"/>
        </w:rPr>
        <w:t>Ar-condicionado,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Itens de Fábrica/Contran:</w:t>
      </w:r>
      <w:r>
        <w:rPr>
          <w:rFonts w:ascii="Arial" w:hAnsi="Arial"/>
          <w:sz w:val="24"/>
          <w:szCs w:val="24"/>
        </w:rPr>
        <w:t xml:space="preserve">Ferramentas, estepe, </w:t>
      </w:r>
      <w:r>
        <w:rPr>
          <w:rFonts w:ascii="Arial" w:hAnsi="Arial"/>
          <w:sz w:val="24"/>
          <w:szCs w:val="24"/>
        </w:rPr>
        <w:lastRenderedPageBreak/>
        <w:t>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265ACD80" w14:textId="77777777" w:rsidR="001A6CDD" w:rsidRDefault="00A40F83">
      <w:pPr>
        <w:pStyle w:val="TableParagraph"/>
        <w:spacing w:line="276" w:lineRule="auto"/>
        <w:jc w:val="both"/>
        <w:rPr>
          <w:rFonts w:ascii="Arial" w:hAnsi="Arial"/>
          <w:sz w:val="24"/>
          <w:szCs w:val="24"/>
        </w:rPr>
      </w:pPr>
      <w:r>
        <w:rPr>
          <w:rFonts w:ascii="Arial" w:hAnsi="Arial"/>
          <w:sz w:val="24"/>
          <w:szCs w:val="24"/>
        </w:rPr>
        <w:t>Referência: Polo</w:t>
      </w:r>
    </w:p>
    <w:p w14:paraId="048A64CC" w14:textId="77777777" w:rsidR="001A6CDD" w:rsidRDefault="00A40F83">
      <w:pPr>
        <w:pStyle w:val="TableParagraph"/>
        <w:spacing w:line="276" w:lineRule="auto"/>
        <w:jc w:val="both"/>
      </w:pPr>
      <w:r>
        <w:rPr>
          <w:rFonts w:ascii="Arial" w:hAnsi="Arial"/>
          <w:b/>
          <w:bCs/>
          <w:sz w:val="24"/>
          <w:szCs w:val="24"/>
        </w:rPr>
        <w:t>VEÍCULO UTILITÁRIO TIPO PICK-UP CABINE SIMPLES:</w:t>
      </w:r>
      <w:r>
        <w:rPr>
          <w:rFonts w:ascii="Arial" w:hAnsi="Arial"/>
          <w:sz w:val="24"/>
          <w:szCs w:val="24"/>
        </w:rPr>
        <w:t xml:space="preserve"> Zero quilometro, sem motorista; </w:t>
      </w:r>
      <w:r>
        <w:rPr>
          <w:rFonts w:ascii="Arial" w:hAnsi="Arial"/>
          <w:sz w:val="24"/>
          <w:szCs w:val="24"/>
          <w:lang w:eastAsia="pt-BR"/>
        </w:rPr>
        <w:t xml:space="preserve">Ano Modelo: </w:t>
      </w:r>
      <w:r>
        <w:rPr>
          <w:rFonts w:ascii="Arial" w:hAnsi="Arial"/>
          <w:sz w:val="24"/>
          <w:szCs w:val="24"/>
        </w:rPr>
        <w:t>2026</w:t>
      </w:r>
      <w:r>
        <w:rPr>
          <w:rFonts w:ascii="Arial" w:hAnsi="Arial"/>
          <w:sz w:val="24"/>
          <w:szCs w:val="24"/>
          <w:lang w:eastAsia="pt-BR"/>
        </w:rPr>
        <w:t xml:space="preserve">/2026; </w:t>
      </w:r>
      <w:r>
        <w:rPr>
          <w:rFonts w:ascii="Arial" w:hAnsi="Arial"/>
          <w:sz w:val="24"/>
          <w:szCs w:val="24"/>
        </w:rPr>
        <w:t>Motor: Mínimo 1.6, 106 CV Flex;</w:t>
      </w:r>
      <w:r>
        <w:rPr>
          <w:rFonts w:ascii="Arial" w:hAnsi="Arial"/>
          <w:sz w:val="24"/>
          <w:szCs w:val="24"/>
          <w:lang w:eastAsia="pt-BR"/>
        </w:rPr>
        <w:t xml:space="preserve"> Transmissão: Manual; Capacidade: </w:t>
      </w:r>
      <w:r>
        <w:rPr>
          <w:rFonts w:ascii="Arial" w:hAnsi="Arial"/>
          <w:sz w:val="24"/>
          <w:szCs w:val="24"/>
        </w:rPr>
        <w:t>Capacidade para 2</w:t>
      </w:r>
      <w:r>
        <w:rPr>
          <w:rFonts w:ascii="Arial" w:hAnsi="Arial"/>
          <w:sz w:val="24"/>
          <w:szCs w:val="24"/>
          <w:lang w:eastAsia="pt-BR"/>
        </w:rPr>
        <w:t xml:space="preserve"> (</w:t>
      </w:r>
      <w:r>
        <w:rPr>
          <w:rFonts w:ascii="Arial" w:hAnsi="Arial"/>
          <w:sz w:val="24"/>
          <w:szCs w:val="24"/>
        </w:rPr>
        <w:t>dois</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cabine simples; Caçamba/Carga: mínimo de 924 litros e carga útil de no mínimo 640 kg;</w:t>
      </w:r>
      <w:r>
        <w:rPr>
          <w:rFonts w:ascii="Arial" w:hAnsi="Arial"/>
          <w:sz w:val="24"/>
          <w:szCs w:val="24"/>
        </w:rPr>
        <w:t xml:space="preserve"> </w:t>
      </w:r>
      <w:r>
        <w:rPr>
          <w:rFonts w:ascii="Arial" w:hAnsi="Arial"/>
          <w:sz w:val="24"/>
          <w:szCs w:val="24"/>
          <w:lang w:eastAsia="pt-BR"/>
        </w:rPr>
        <w:t>Direção: Elétrica ou Hidráulica; Segurança:</w:t>
      </w:r>
      <w:r>
        <w:rPr>
          <w:rFonts w:ascii="Arial" w:hAnsi="Arial"/>
          <w:sz w:val="24"/>
          <w:szCs w:val="24"/>
        </w:rPr>
        <w:t xml:space="preserve"> Freios ABS, Airbags (duplo), Controle de Tração/Estabilidade, Alarme</w:t>
      </w:r>
      <w:r>
        <w:rPr>
          <w:rFonts w:ascii="Arial" w:hAnsi="Arial"/>
          <w:sz w:val="24"/>
          <w:szCs w:val="24"/>
          <w:lang w:eastAsia="pt-BR"/>
        </w:rPr>
        <w:t xml:space="preserve">; Conforto/Tecnologia: </w:t>
      </w:r>
      <w:r>
        <w:rPr>
          <w:rFonts w:ascii="Arial" w:hAnsi="Arial"/>
          <w:sz w:val="24"/>
          <w:szCs w:val="24"/>
        </w:rPr>
        <w:t>Ar-condicionado,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Equipamentos e Acessórios Obrigatórios: P</w:t>
      </w:r>
      <w:r>
        <w:rPr>
          <w:rFonts w:ascii="Arial" w:hAnsi="Arial"/>
          <w:sz w:val="24"/>
          <w:szCs w:val="24"/>
        </w:rPr>
        <w:t xml:space="preserve">rotetor de caçamba. capota marítima (lona), grade de proteção do vidro traseiro (vigia), Protetor de cárter. </w:t>
      </w:r>
      <w:r>
        <w:rPr>
          <w:rStyle w:val="nfaseforte"/>
          <w:rFonts w:ascii="Arial" w:hAnsi="Arial"/>
          <w:sz w:val="24"/>
          <w:szCs w:val="24"/>
        </w:rPr>
        <w:t>Itens de Fábrica/Contran:</w:t>
      </w:r>
      <w:r>
        <w:rPr>
          <w:rFonts w:ascii="Arial" w:hAnsi="Arial"/>
          <w:sz w:val="24"/>
          <w:szCs w:val="24"/>
        </w:rPr>
        <w:t>Ferramentas, estepe, 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4C49898D" w14:textId="77777777" w:rsidR="001A6CDD" w:rsidRDefault="00A40F83">
      <w:pPr>
        <w:pStyle w:val="TableParagraph"/>
        <w:spacing w:line="276" w:lineRule="auto"/>
        <w:jc w:val="both"/>
        <w:rPr>
          <w:rFonts w:ascii="Arial" w:hAnsi="Arial"/>
          <w:sz w:val="24"/>
          <w:szCs w:val="24"/>
        </w:rPr>
      </w:pPr>
      <w:r>
        <w:rPr>
          <w:rFonts w:ascii="Arial" w:hAnsi="Arial"/>
          <w:sz w:val="24"/>
          <w:szCs w:val="24"/>
        </w:rPr>
        <w:t>Referência: Strada e Saveiro</w:t>
      </w:r>
    </w:p>
    <w:p w14:paraId="3C2EBCD7" w14:textId="77777777" w:rsidR="001A6CDD" w:rsidRDefault="00A40F83">
      <w:pPr>
        <w:pStyle w:val="TableParagraph"/>
        <w:spacing w:line="276" w:lineRule="auto"/>
        <w:jc w:val="both"/>
      </w:pPr>
      <w:r>
        <w:rPr>
          <w:rFonts w:ascii="Arial" w:hAnsi="Arial"/>
          <w:b/>
          <w:bCs/>
          <w:sz w:val="24"/>
          <w:szCs w:val="24"/>
        </w:rPr>
        <w:t>VEÍCULO UTILITÁRIO TIPO PICK-UP CABINE DUPLA:</w:t>
      </w:r>
      <w:r>
        <w:rPr>
          <w:rFonts w:ascii="Arial" w:hAnsi="Arial"/>
          <w:sz w:val="24"/>
          <w:szCs w:val="24"/>
        </w:rPr>
        <w:t xml:space="preserve"> Zero quilometro, sem motorista; </w:t>
      </w:r>
      <w:r>
        <w:rPr>
          <w:rFonts w:ascii="Arial" w:hAnsi="Arial"/>
          <w:sz w:val="24"/>
          <w:szCs w:val="24"/>
          <w:lang w:eastAsia="pt-BR"/>
        </w:rPr>
        <w:t xml:space="preserve">Ano Modelo: </w:t>
      </w:r>
      <w:r>
        <w:rPr>
          <w:rFonts w:ascii="Arial" w:hAnsi="Arial"/>
          <w:sz w:val="24"/>
          <w:szCs w:val="24"/>
        </w:rPr>
        <w:t>2026</w:t>
      </w:r>
      <w:r>
        <w:rPr>
          <w:rFonts w:ascii="Arial" w:hAnsi="Arial"/>
          <w:sz w:val="24"/>
          <w:szCs w:val="24"/>
          <w:lang w:eastAsia="pt-BR"/>
        </w:rPr>
        <w:t xml:space="preserve">/2026; </w:t>
      </w:r>
      <w:r>
        <w:rPr>
          <w:rFonts w:ascii="Arial" w:hAnsi="Arial"/>
          <w:sz w:val="24"/>
          <w:szCs w:val="24"/>
        </w:rPr>
        <w:t>Motor: Mínimo 1.3 T, 176 CV Flex;</w:t>
      </w:r>
      <w:r>
        <w:rPr>
          <w:rFonts w:ascii="Arial" w:hAnsi="Arial"/>
          <w:sz w:val="24"/>
          <w:szCs w:val="24"/>
          <w:lang w:eastAsia="pt-BR"/>
        </w:rPr>
        <w:t xml:space="preserve"> Transmissão: Manual/Automático; Capacidade: </w:t>
      </w:r>
      <w:r>
        <w:rPr>
          <w:rFonts w:ascii="Arial" w:hAnsi="Arial"/>
          <w:sz w:val="24"/>
          <w:szCs w:val="24"/>
        </w:rPr>
        <w:t>Capacidade para 5</w:t>
      </w:r>
      <w:r>
        <w:rPr>
          <w:rFonts w:ascii="Arial" w:hAnsi="Arial"/>
          <w:sz w:val="24"/>
          <w:szCs w:val="24"/>
          <w:lang w:eastAsia="pt-BR"/>
        </w:rPr>
        <w:t xml:space="preserve"> (</w:t>
      </w:r>
      <w:r>
        <w:rPr>
          <w:rFonts w:ascii="Arial" w:hAnsi="Arial"/>
          <w:sz w:val="24"/>
          <w:szCs w:val="24"/>
        </w:rPr>
        <w:t>cinco</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cabine dupla, 4 (quatro) portas; Caçamba/Carga: mínimo de 937 litros e carga útil de no mínimo 750 kg;</w:t>
      </w:r>
      <w:r>
        <w:rPr>
          <w:rFonts w:ascii="Arial" w:hAnsi="Arial"/>
          <w:sz w:val="24"/>
          <w:szCs w:val="24"/>
        </w:rPr>
        <w:t xml:space="preserve"> </w:t>
      </w:r>
      <w:r>
        <w:rPr>
          <w:rFonts w:ascii="Arial" w:hAnsi="Arial"/>
          <w:sz w:val="24"/>
          <w:szCs w:val="24"/>
          <w:lang w:eastAsia="pt-BR"/>
        </w:rPr>
        <w:t>Direção: Elétrica ou Hidráulica; Segurança:</w:t>
      </w:r>
      <w:r>
        <w:rPr>
          <w:rFonts w:ascii="Arial" w:hAnsi="Arial"/>
          <w:sz w:val="24"/>
          <w:szCs w:val="24"/>
        </w:rPr>
        <w:t xml:space="preserve"> Freios ABS, Airbags (duplo), Controle de Tração/Estabilidade, Alarme</w:t>
      </w:r>
      <w:r>
        <w:rPr>
          <w:rFonts w:ascii="Arial" w:hAnsi="Arial"/>
          <w:sz w:val="24"/>
          <w:szCs w:val="24"/>
          <w:lang w:eastAsia="pt-BR"/>
        </w:rPr>
        <w:t xml:space="preserve">; Conforto/Tecnologia: </w:t>
      </w:r>
      <w:r>
        <w:rPr>
          <w:rFonts w:ascii="Arial" w:hAnsi="Arial"/>
          <w:sz w:val="24"/>
          <w:szCs w:val="24"/>
        </w:rPr>
        <w:t>Ar-condicionado,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 xml:space="preserve">Equipamentos e Acessórios Obrigatórios: </w:t>
      </w:r>
      <w:r>
        <w:rPr>
          <w:rStyle w:val="nfaseforte"/>
          <w:rFonts w:ascii="Arial" w:hAnsi="Arial"/>
          <w:b w:val="0"/>
          <w:bCs w:val="0"/>
          <w:sz w:val="24"/>
          <w:szCs w:val="24"/>
        </w:rPr>
        <w:t>P</w:t>
      </w:r>
      <w:r>
        <w:rPr>
          <w:rFonts w:ascii="Arial" w:hAnsi="Arial"/>
          <w:sz w:val="24"/>
          <w:szCs w:val="24"/>
        </w:rPr>
        <w:t xml:space="preserve">rotetor de caçamba. Iluminação de caçamba, ganchos de amarração e capota marítima (lona). </w:t>
      </w:r>
      <w:r>
        <w:rPr>
          <w:rStyle w:val="nfaseforte"/>
          <w:rFonts w:ascii="Arial" w:hAnsi="Arial"/>
          <w:sz w:val="24"/>
          <w:szCs w:val="24"/>
        </w:rPr>
        <w:t>Itens de Fábrica/Contran:</w:t>
      </w:r>
      <w:r>
        <w:rPr>
          <w:rFonts w:ascii="Arial" w:hAnsi="Arial"/>
          <w:sz w:val="24"/>
          <w:szCs w:val="24"/>
        </w:rPr>
        <w:t>Ferramentas, estepe, 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680F5D0B" w14:textId="77777777" w:rsidR="001A6CDD" w:rsidRDefault="00A40F83">
      <w:pPr>
        <w:pStyle w:val="TableParagraph"/>
        <w:spacing w:line="276" w:lineRule="auto"/>
        <w:jc w:val="both"/>
        <w:rPr>
          <w:rFonts w:ascii="Arial" w:hAnsi="Arial"/>
          <w:sz w:val="24"/>
          <w:szCs w:val="24"/>
        </w:rPr>
      </w:pPr>
      <w:r>
        <w:rPr>
          <w:rFonts w:ascii="Arial" w:hAnsi="Arial"/>
          <w:sz w:val="24"/>
          <w:szCs w:val="24"/>
        </w:rPr>
        <w:t>Referência: Toro</w:t>
      </w:r>
    </w:p>
    <w:p w14:paraId="30716024" w14:textId="77777777" w:rsidR="001A6CDD" w:rsidRDefault="00A40F83">
      <w:pPr>
        <w:pStyle w:val="TableParagraph"/>
        <w:spacing w:line="276" w:lineRule="auto"/>
        <w:jc w:val="both"/>
      </w:pPr>
      <w:r>
        <w:rPr>
          <w:rFonts w:ascii="Arial" w:hAnsi="Arial"/>
          <w:b/>
          <w:bCs/>
          <w:sz w:val="24"/>
          <w:szCs w:val="24"/>
        </w:rPr>
        <w:t>VEÍCULO UTILITÁRIO TIPO 2 PICK-UP CABINE DUPLA:</w:t>
      </w:r>
      <w:r>
        <w:rPr>
          <w:rFonts w:ascii="Arial" w:hAnsi="Arial"/>
          <w:sz w:val="24"/>
          <w:szCs w:val="24"/>
        </w:rPr>
        <w:t xml:space="preserve"> Zero quilometro, sem motorista; </w:t>
      </w:r>
      <w:r>
        <w:rPr>
          <w:rFonts w:ascii="Arial" w:hAnsi="Arial"/>
          <w:sz w:val="24"/>
          <w:szCs w:val="24"/>
          <w:lang w:eastAsia="pt-BR"/>
        </w:rPr>
        <w:t xml:space="preserve">Ano Modelo: </w:t>
      </w:r>
      <w:r>
        <w:rPr>
          <w:rFonts w:ascii="Arial" w:hAnsi="Arial"/>
          <w:sz w:val="24"/>
          <w:szCs w:val="24"/>
        </w:rPr>
        <w:t>2026</w:t>
      </w:r>
      <w:r>
        <w:rPr>
          <w:rFonts w:ascii="Arial" w:hAnsi="Arial"/>
          <w:sz w:val="24"/>
          <w:szCs w:val="24"/>
          <w:lang w:eastAsia="pt-BR"/>
        </w:rPr>
        <w:t xml:space="preserve">/2026; </w:t>
      </w:r>
      <w:r>
        <w:rPr>
          <w:rFonts w:ascii="Arial" w:hAnsi="Arial"/>
          <w:sz w:val="24"/>
          <w:szCs w:val="24"/>
        </w:rPr>
        <w:t>Motor: Mínimo 2.0T, 170 CV Diesel;</w:t>
      </w:r>
      <w:r>
        <w:rPr>
          <w:rFonts w:ascii="Arial" w:hAnsi="Arial"/>
          <w:sz w:val="24"/>
          <w:szCs w:val="24"/>
          <w:lang w:eastAsia="pt-BR"/>
        </w:rPr>
        <w:t xml:space="preserve"> Transmissão: Manual/Automático; Capacidade: </w:t>
      </w:r>
      <w:r>
        <w:rPr>
          <w:rFonts w:ascii="Arial" w:hAnsi="Arial"/>
          <w:sz w:val="24"/>
          <w:szCs w:val="24"/>
        </w:rPr>
        <w:t>Capacidade para 5</w:t>
      </w:r>
      <w:r>
        <w:rPr>
          <w:rFonts w:ascii="Arial" w:hAnsi="Arial"/>
          <w:sz w:val="24"/>
          <w:szCs w:val="24"/>
          <w:lang w:eastAsia="pt-BR"/>
        </w:rPr>
        <w:t xml:space="preserve"> (</w:t>
      </w:r>
      <w:r>
        <w:rPr>
          <w:rFonts w:ascii="Arial" w:hAnsi="Arial"/>
          <w:sz w:val="24"/>
          <w:szCs w:val="24"/>
        </w:rPr>
        <w:t>cinco</w:t>
      </w:r>
      <w:r>
        <w:rPr>
          <w:rFonts w:ascii="Arial" w:hAnsi="Arial"/>
          <w:sz w:val="24"/>
          <w:szCs w:val="24"/>
          <w:lang w:eastAsia="pt-BR"/>
        </w:rPr>
        <w:t xml:space="preserve">) </w:t>
      </w:r>
      <w:r>
        <w:rPr>
          <w:rFonts w:ascii="Arial" w:hAnsi="Arial"/>
          <w:sz w:val="24"/>
          <w:szCs w:val="24"/>
        </w:rPr>
        <w:t>passageiros, incluindo motorista</w:t>
      </w:r>
      <w:r>
        <w:rPr>
          <w:rFonts w:ascii="Arial" w:hAnsi="Arial"/>
          <w:sz w:val="24"/>
          <w:szCs w:val="24"/>
          <w:lang w:eastAsia="pt-BR"/>
        </w:rPr>
        <w:t>; cabine dupla, 4 (quatro) portas; Caçamba/Carga: mínimo de 1.250 litros e carga útil de no mínimo 1.037 kg;</w:t>
      </w:r>
      <w:r>
        <w:rPr>
          <w:rFonts w:ascii="Arial" w:hAnsi="Arial"/>
          <w:sz w:val="24"/>
          <w:szCs w:val="24"/>
        </w:rPr>
        <w:t xml:space="preserve"> </w:t>
      </w:r>
      <w:r>
        <w:rPr>
          <w:rFonts w:ascii="Arial" w:hAnsi="Arial"/>
          <w:sz w:val="24"/>
          <w:szCs w:val="24"/>
          <w:lang w:eastAsia="pt-BR"/>
        </w:rPr>
        <w:t>Direção: Elétrica ou Hidráulica; Segurança:</w:t>
      </w:r>
      <w:r>
        <w:rPr>
          <w:rFonts w:ascii="Arial" w:hAnsi="Arial"/>
          <w:sz w:val="24"/>
          <w:szCs w:val="24"/>
        </w:rPr>
        <w:t xml:space="preserve"> Freios ABS, Airbags, Controle de Tração/Estabilidade, Assistente de Partida em Rampa (HSA), Controle de Descida (HDC) e Alarme</w:t>
      </w:r>
      <w:r>
        <w:rPr>
          <w:rFonts w:ascii="Arial" w:hAnsi="Arial"/>
          <w:sz w:val="24"/>
          <w:szCs w:val="24"/>
          <w:lang w:eastAsia="pt-BR"/>
        </w:rPr>
        <w:t xml:space="preserve">; Conforto/Tecnologia: </w:t>
      </w:r>
      <w:r>
        <w:rPr>
          <w:rFonts w:ascii="Arial" w:hAnsi="Arial"/>
          <w:sz w:val="24"/>
          <w:szCs w:val="24"/>
        </w:rPr>
        <w:t>Ar-condicionado, apoio de braço para o motorista, vidros/travas elétricas, som (rádio AM/FM, USB, Bluetooth), películas de proteção solar em todos os vidros</w:t>
      </w:r>
      <w:r>
        <w:rPr>
          <w:rFonts w:ascii="Arial" w:hAnsi="Arial"/>
          <w:sz w:val="24"/>
          <w:szCs w:val="24"/>
          <w:lang w:eastAsia="pt-BR"/>
        </w:rPr>
        <w:t>, kit multimídia;</w:t>
      </w:r>
      <w:r>
        <w:rPr>
          <w:rFonts w:ascii="Arial" w:hAnsi="Arial"/>
          <w:sz w:val="24"/>
          <w:szCs w:val="24"/>
        </w:rPr>
        <w:t xml:space="preserve"> sensores e/ou câmera de ré; </w:t>
      </w:r>
      <w:r>
        <w:rPr>
          <w:rStyle w:val="nfaseforte"/>
          <w:rFonts w:ascii="Arial" w:hAnsi="Arial"/>
          <w:sz w:val="24"/>
          <w:szCs w:val="24"/>
        </w:rPr>
        <w:t>Equipamentos e Acessórios Obrigatórios: P</w:t>
      </w:r>
      <w:r>
        <w:rPr>
          <w:rFonts w:ascii="Arial" w:hAnsi="Arial"/>
          <w:sz w:val="24"/>
          <w:szCs w:val="24"/>
        </w:rPr>
        <w:t xml:space="preserve">rotetor de caçamba. Iluminação de caçamba, ganchos de amarração e capota marítima (lona). </w:t>
      </w:r>
      <w:r>
        <w:rPr>
          <w:rStyle w:val="nfaseforte"/>
          <w:rFonts w:ascii="Arial" w:hAnsi="Arial"/>
          <w:sz w:val="24"/>
          <w:szCs w:val="24"/>
        </w:rPr>
        <w:t>Itens de Fábrica/Contran:</w:t>
      </w:r>
      <w:r>
        <w:rPr>
          <w:rFonts w:ascii="Arial" w:hAnsi="Arial"/>
          <w:sz w:val="24"/>
          <w:szCs w:val="24"/>
        </w:rPr>
        <w:t xml:space="preserve">Ferramentas, estepe, </w:t>
      </w:r>
      <w:r>
        <w:rPr>
          <w:rFonts w:ascii="Arial" w:hAnsi="Arial"/>
          <w:sz w:val="24"/>
          <w:szCs w:val="24"/>
        </w:rPr>
        <w:lastRenderedPageBreak/>
        <w:t>tapetes, kit de segurança</w:t>
      </w:r>
      <w:r>
        <w:rPr>
          <w:rFonts w:ascii="Arial" w:hAnsi="Arial"/>
          <w:sz w:val="24"/>
          <w:szCs w:val="24"/>
          <w:lang w:eastAsia="pt-BR"/>
        </w:rPr>
        <w:t xml:space="preserve">; </w:t>
      </w:r>
      <w:r>
        <w:rPr>
          <w:rFonts w:ascii="Arial" w:hAnsi="Arial"/>
          <w:sz w:val="24"/>
          <w:szCs w:val="24"/>
        </w:rPr>
        <w:t>Cor: Branco, Plotagem: Plotagem adesivada nas 02 (duas) portas laterais dianteiras conforme padrão de cada secretaria.</w:t>
      </w:r>
    </w:p>
    <w:p w14:paraId="08820333" w14:textId="77777777" w:rsidR="001A6CDD" w:rsidRDefault="00A40F83">
      <w:pPr>
        <w:pStyle w:val="TableParagraph"/>
        <w:spacing w:line="276" w:lineRule="auto"/>
        <w:jc w:val="both"/>
        <w:rPr>
          <w:rFonts w:ascii="Arial" w:hAnsi="Arial"/>
          <w:sz w:val="24"/>
          <w:szCs w:val="24"/>
        </w:rPr>
      </w:pPr>
      <w:r>
        <w:rPr>
          <w:rFonts w:ascii="Arial" w:hAnsi="Arial"/>
          <w:sz w:val="24"/>
          <w:szCs w:val="24"/>
        </w:rPr>
        <w:t>Referência: Ranger</w:t>
      </w:r>
    </w:p>
    <w:p w14:paraId="7EC15EE4" w14:textId="77777777" w:rsidR="001A6CDD" w:rsidRDefault="00A40F83">
      <w:pPr>
        <w:spacing w:line="276" w:lineRule="auto"/>
        <w:jc w:val="both"/>
      </w:pPr>
      <w:r>
        <w:rPr>
          <w:rFonts w:ascii="Arial" w:hAnsi="Arial"/>
          <w:b/>
          <w:bCs/>
          <w:sz w:val="24"/>
          <w:szCs w:val="24"/>
          <w:lang w:val="pt-PT" w:eastAsia="en-US"/>
        </w:rPr>
        <w:t>VEÍCULO UTILITARIO SUV:</w:t>
      </w:r>
      <w:r>
        <w:rPr>
          <w:rFonts w:ascii="Arial" w:hAnsi="Arial"/>
          <w:sz w:val="24"/>
          <w:szCs w:val="24"/>
          <w:lang w:val="pt-PT" w:eastAsia="en-US"/>
        </w:rPr>
        <w:t xml:space="preserve"> Z</w:t>
      </w:r>
      <w:r>
        <w:rPr>
          <w:rFonts w:ascii="Arial" w:hAnsi="Arial"/>
          <w:sz w:val="24"/>
          <w:szCs w:val="24"/>
          <w:lang w:eastAsia="pt-BR"/>
        </w:rPr>
        <w:t xml:space="preserve">ero quilômetro, sem motorista; </w:t>
      </w:r>
      <w:r>
        <w:rPr>
          <w:rFonts w:ascii="Arial" w:hAnsi="Arial"/>
          <w:sz w:val="24"/>
          <w:szCs w:val="24"/>
          <w:lang w:val="pt-PT" w:eastAsia="pt-BR"/>
        </w:rPr>
        <w:t xml:space="preserve">Ano Modelo: </w:t>
      </w:r>
      <w:r>
        <w:rPr>
          <w:rFonts w:ascii="Arial" w:hAnsi="Arial"/>
          <w:sz w:val="24"/>
          <w:szCs w:val="24"/>
          <w:lang w:val="pt-PT" w:eastAsia="en-US"/>
        </w:rPr>
        <w:t>2026</w:t>
      </w:r>
      <w:r>
        <w:rPr>
          <w:rFonts w:ascii="Arial" w:hAnsi="Arial"/>
          <w:sz w:val="24"/>
          <w:szCs w:val="24"/>
          <w:lang w:val="pt-PT" w:eastAsia="pt-BR"/>
        </w:rPr>
        <w:t xml:space="preserve">/2026; </w:t>
      </w:r>
      <w:r>
        <w:rPr>
          <w:rFonts w:ascii="Arial" w:hAnsi="Arial"/>
          <w:sz w:val="24"/>
          <w:szCs w:val="24"/>
          <w:lang w:val="pt-PT" w:eastAsia="en-US"/>
        </w:rPr>
        <w:t>Motor:</w:t>
      </w:r>
      <w:r>
        <w:rPr>
          <w:rFonts w:ascii="Arial" w:hAnsi="Arial"/>
          <w:sz w:val="24"/>
          <w:szCs w:val="24"/>
          <w:lang w:eastAsia="pt-BR"/>
        </w:rPr>
        <w:t xml:space="preserve"> mínimo 1.8 106 CV Flex; </w:t>
      </w:r>
      <w:r>
        <w:rPr>
          <w:rFonts w:ascii="Arial" w:hAnsi="Arial"/>
          <w:sz w:val="24"/>
          <w:szCs w:val="24"/>
          <w:lang w:val="pt-PT" w:eastAsia="pt-BR"/>
        </w:rPr>
        <w:t xml:space="preserve">Transmissão: Manual/Automático; Capacidade: </w:t>
      </w:r>
      <w:r>
        <w:rPr>
          <w:rFonts w:ascii="Arial" w:hAnsi="Arial"/>
          <w:sz w:val="24"/>
          <w:szCs w:val="24"/>
          <w:lang w:val="pt-PT" w:eastAsia="en-US"/>
        </w:rPr>
        <w:t>Capacidade para até 7</w:t>
      </w:r>
      <w:r>
        <w:rPr>
          <w:rFonts w:ascii="Arial" w:hAnsi="Arial"/>
          <w:sz w:val="24"/>
          <w:szCs w:val="24"/>
          <w:lang w:val="pt-PT" w:eastAsia="pt-BR"/>
        </w:rPr>
        <w:t xml:space="preserve"> (</w:t>
      </w:r>
      <w:r>
        <w:rPr>
          <w:rFonts w:ascii="Arial" w:hAnsi="Arial"/>
          <w:sz w:val="24"/>
          <w:szCs w:val="24"/>
          <w:lang w:val="pt-PT" w:eastAsia="en-US"/>
        </w:rPr>
        <w:t>sete</w:t>
      </w:r>
      <w:r>
        <w:rPr>
          <w:rFonts w:ascii="Arial" w:hAnsi="Arial"/>
          <w:sz w:val="24"/>
          <w:szCs w:val="24"/>
          <w:lang w:val="pt-PT" w:eastAsia="pt-BR"/>
        </w:rPr>
        <w:t xml:space="preserve">) </w:t>
      </w:r>
      <w:r>
        <w:rPr>
          <w:rFonts w:ascii="Arial" w:hAnsi="Arial"/>
          <w:sz w:val="24"/>
          <w:szCs w:val="24"/>
          <w:lang w:val="pt-PT" w:eastAsia="en-US"/>
        </w:rPr>
        <w:t>passageiros, incluindo motorista</w:t>
      </w:r>
      <w:r>
        <w:rPr>
          <w:rFonts w:ascii="Arial" w:hAnsi="Arial"/>
          <w:sz w:val="24"/>
          <w:szCs w:val="24"/>
          <w:lang w:val="pt-PT" w:eastAsia="pt-BR"/>
        </w:rPr>
        <w:t>; 5 (cinco) portas, incluindo porta-malas; Porta-Malas: mínimo de 710 litros (7 lugares: Aproximadamente 162 litros com 7 assentos ocupados);</w:t>
      </w:r>
      <w:r>
        <w:rPr>
          <w:rFonts w:ascii="Arial" w:hAnsi="Arial"/>
          <w:sz w:val="24"/>
          <w:szCs w:val="24"/>
          <w:lang w:val="pt-PT" w:eastAsia="en-US"/>
        </w:rPr>
        <w:t xml:space="preserve"> </w:t>
      </w:r>
      <w:r>
        <w:rPr>
          <w:rFonts w:ascii="Arial" w:hAnsi="Arial"/>
          <w:sz w:val="24"/>
          <w:szCs w:val="24"/>
          <w:lang w:val="pt-PT" w:eastAsia="pt-BR"/>
        </w:rPr>
        <w:t>Direção: Elétrica ou Hidráulica; Segurança:</w:t>
      </w:r>
      <w:r>
        <w:rPr>
          <w:rFonts w:ascii="Arial" w:hAnsi="Arial"/>
          <w:sz w:val="24"/>
          <w:szCs w:val="24"/>
          <w:lang w:val="pt-PT" w:eastAsia="en-US"/>
        </w:rPr>
        <w:t xml:space="preserve"> Freios ABS, Airbags, Controle de Tração/Estabilidade, Assistente de Partida em Rampa e Alarme</w:t>
      </w:r>
      <w:r>
        <w:rPr>
          <w:rFonts w:ascii="Arial" w:hAnsi="Arial"/>
          <w:sz w:val="24"/>
          <w:szCs w:val="24"/>
          <w:lang w:val="pt-PT" w:eastAsia="pt-BR"/>
        </w:rPr>
        <w:t xml:space="preserve">; Conforto/Tecnologia: </w:t>
      </w:r>
      <w:r>
        <w:rPr>
          <w:rFonts w:ascii="Arial" w:hAnsi="Arial"/>
          <w:sz w:val="24"/>
          <w:szCs w:val="24"/>
          <w:lang w:val="pt-PT" w:eastAsia="en-US"/>
        </w:rPr>
        <w:t>Ar-condicionado, vidros/travas elétricas, som (rádio AM/FM, USB, Bluetooth), películas de proteção solar em todos os vidros</w:t>
      </w:r>
      <w:r>
        <w:rPr>
          <w:rFonts w:ascii="Arial" w:hAnsi="Arial"/>
          <w:sz w:val="24"/>
          <w:szCs w:val="24"/>
          <w:lang w:val="pt-PT" w:eastAsia="pt-BR"/>
        </w:rPr>
        <w:t>, kit multimídia;</w:t>
      </w:r>
      <w:r>
        <w:rPr>
          <w:rFonts w:ascii="Arial" w:hAnsi="Arial"/>
          <w:sz w:val="24"/>
          <w:szCs w:val="24"/>
          <w:lang w:val="pt-PT" w:eastAsia="en-US"/>
        </w:rPr>
        <w:t xml:space="preserve"> sensores e/ou câmera de ré; </w:t>
      </w:r>
      <w:r>
        <w:rPr>
          <w:rStyle w:val="nfaseforte"/>
          <w:rFonts w:ascii="Arial" w:hAnsi="Arial"/>
          <w:sz w:val="24"/>
          <w:szCs w:val="24"/>
          <w:lang w:val="pt-PT" w:eastAsia="en-US"/>
        </w:rPr>
        <w:t xml:space="preserve">Itens de Fábrica/Contran: </w:t>
      </w:r>
      <w:r>
        <w:rPr>
          <w:rFonts w:ascii="Arial" w:hAnsi="Arial"/>
          <w:sz w:val="24"/>
          <w:szCs w:val="24"/>
          <w:lang w:val="pt-PT" w:eastAsia="en-US"/>
        </w:rPr>
        <w:t>Ferramentas, estepe, tapetes, kit de segurança</w:t>
      </w:r>
      <w:r>
        <w:rPr>
          <w:rFonts w:ascii="Arial" w:hAnsi="Arial"/>
          <w:sz w:val="24"/>
          <w:szCs w:val="24"/>
          <w:lang w:val="pt-PT" w:eastAsia="pt-BR"/>
        </w:rPr>
        <w:t xml:space="preserve">; </w:t>
      </w:r>
      <w:r>
        <w:rPr>
          <w:rFonts w:ascii="Arial" w:hAnsi="Arial"/>
          <w:sz w:val="24"/>
          <w:szCs w:val="24"/>
          <w:lang w:val="pt-PT" w:eastAsia="en-US"/>
        </w:rPr>
        <w:t>Cor: Branco, Plotagem: Plotagem adesivada nas 02 (duas) portas laterais dianteiras conforme padrão de cada secretaria.</w:t>
      </w:r>
    </w:p>
    <w:p w14:paraId="5B6246D7" w14:textId="77777777" w:rsidR="001A6CDD" w:rsidRDefault="00A40F83">
      <w:pPr>
        <w:spacing w:line="276" w:lineRule="auto"/>
        <w:jc w:val="both"/>
        <w:rPr>
          <w:rFonts w:ascii="Arial" w:hAnsi="Arial"/>
          <w:sz w:val="24"/>
          <w:szCs w:val="24"/>
        </w:rPr>
      </w:pPr>
      <w:r>
        <w:rPr>
          <w:rFonts w:ascii="Arial" w:hAnsi="Arial"/>
          <w:sz w:val="24"/>
          <w:szCs w:val="24"/>
          <w:lang w:val="pt-PT" w:eastAsia="en-US"/>
        </w:rPr>
        <w:t>Referência: Spin</w:t>
      </w:r>
    </w:p>
    <w:p w14:paraId="6444833D" w14:textId="77777777" w:rsidR="001A6CDD" w:rsidRDefault="00A40F83">
      <w:pPr>
        <w:spacing w:line="276" w:lineRule="auto"/>
        <w:jc w:val="both"/>
      </w:pPr>
      <w:r>
        <w:rPr>
          <w:rFonts w:ascii="Arial" w:hAnsi="Arial"/>
          <w:b/>
          <w:bCs/>
          <w:sz w:val="24"/>
          <w:szCs w:val="24"/>
          <w:lang w:val="pt-PT" w:eastAsia="en-US"/>
        </w:rPr>
        <w:t>VEÍCULO SUV EXECUTIVO:</w:t>
      </w:r>
      <w:r>
        <w:rPr>
          <w:rFonts w:ascii="Arial" w:hAnsi="Arial"/>
          <w:sz w:val="24"/>
          <w:szCs w:val="24"/>
          <w:lang w:val="pt-PT" w:eastAsia="en-US"/>
        </w:rPr>
        <w:t xml:space="preserve"> Z</w:t>
      </w:r>
      <w:r>
        <w:rPr>
          <w:rFonts w:ascii="Arial" w:hAnsi="Arial"/>
          <w:sz w:val="24"/>
          <w:szCs w:val="24"/>
          <w:lang w:eastAsia="pt-BR"/>
        </w:rPr>
        <w:t xml:space="preserve">ero quilômetro, sem motorista; </w:t>
      </w:r>
      <w:r>
        <w:rPr>
          <w:rFonts w:ascii="Arial" w:hAnsi="Arial"/>
          <w:sz w:val="24"/>
          <w:szCs w:val="24"/>
          <w:lang w:val="pt-PT" w:eastAsia="pt-BR"/>
        </w:rPr>
        <w:t xml:space="preserve">Ano Modelo: </w:t>
      </w:r>
      <w:r>
        <w:rPr>
          <w:rFonts w:ascii="Arial" w:hAnsi="Arial"/>
          <w:sz w:val="24"/>
          <w:szCs w:val="24"/>
          <w:lang w:val="pt-PT" w:eastAsia="en-US"/>
        </w:rPr>
        <w:t>2025</w:t>
      </w:r>
      <w:r>
        <w:rPr>
          <w:rFonts w:ascii="Arial" w:hAnsi="Arial"/>
          <w:sz w:val="24"/>
          <w:szCs w:val="24"/>
          <w:lang w:val="pt-PT" w:eastAsia="pt-BR"/>
        </w:rPr>
        <w:t xml:space="preserve">/2026; </w:t>
      </w:r>
      <w:r>
        <w:rPr>
          <w:rFonts w:ascii="Arial" w:hAnsi="Arial"/>
          <w:sz w:val="24"/>
          <w:szCs w:val="24"/>
          <w:lang w:val="pt-PT" w:eastAsia="en-US"/>
        </w:rPr>
        <w:t>Motor:</w:t>
      </w:r>
      <w:r>
        <w:rPr>
          <w:rFonts w:ascii="Arial" w:hAnsi="Arial"/>
          <w:sz w:val="24"/>
          <w:szCs w:val="24"/>
          <w:lang w:eastAsia="pt-BR"/>
        </w:rPr>
        <w:t xml:space="preserve"> mínimo 2.8 207 CV Turbodiesel Tração 4x4 integral com reduzida; </w:t>
      </w:r>
      <w:r>
        <w:rPr>
          <w:rFonts w:ascii="Arial" w:hAnsi="Arial"/>
          <w:sz w:val="24"/>
          <w:szCs w:val="24"/>
          <w:lang w:val="pt-PT" w:eastAsia="pt-BR"/>
        </w:rPr>
        <w:t xml:space="preserve">Transmissão: Automática; Capacidade: </w:t>
      </w:r>
      <w:r>
        <w:rPr>
          <w:rFonts w:ascii="Arial" w:hAnsi="Arial"/>
          <w:sz w:val="24"/>
          <w:szCs w:val="24"/>
          <w:lang w:val="pt-PT" w:eastAsia="en-US"/>
        </w:rPr>
        <w:t>Capacidade para até 7</w:t>
      </w:r>
      <w:r>
        <w:rPr>
          <w:rFonts w:ascii="Arial" w:hAnsi="Arial"/>
          <w:sz w:val="24"/>
          <w:szCs w:val="24"/>
          <w:lang w:val="pt-PT" w:eastAsia="pt-BR"/>
        </w:rPr>
        <w:t xml:space="preserve"> (</w:t>
      </w:r>
      <w:r>
        <w:rPr>
          <w:rFonts w:ascii="Arial" w:hAnsi="Arial"/>
          <w:sz w:val="24"/>
          <w:szCs w:val="24"/>
          <w:lang w:val="pt-PT" w:eastAsia="en-US"/>
        </w:rPr>
        <w:t>sete</w:t>
      </w:r>
      <w:r>
        <w:rPr>
          <w:rFonts w:ascii="Arial" w:hAnsi="Arial"/>
          <w:sz w:val="24"/>
          <w:szCs w:val="24"/>
          <w:lang w:val="pt-PT" w:eastAsia="pt-BR"/>
        </w:rPr>
        <w:t xml:space="preserve">) </w:t>
      </w:r>
      <w:r>
        <w:rPr>
          <w:rFonts w:ascii="Arial" w:hAnsi="Arial"/>
          <w:sz w:val="24"/>
          <w:szCs w:val="24"/>
          <w:lang w:val="pt-PT" w:eastAsia="en-US"/>
        </w:rPr>
        <w:t>passageiros, incluindo motorista</w:t>
      </w:r>
      <w:r>
        <w:rPr>
          <w:rFonts w:ascii="Arial" w:hAnsi="Arial"/>
          <w:sz w:val="24"/>
          <w:szCs w:val="24"/>
          <w:lang w:val="pt-PT" w:eastAsia="pt-BR"/>
        </w:rPr>
        <w:t>; 5 (cinco) portas, incluindo porta-malas; Porta-Malas: mínimo de 554 litros (7 lugares: Aproximadamente 205 litros com 7 assentos ocupados);</w:t>
      </w:r>
      <w:r>
        <w:rPr>
          <w:rFonts w:ascii="Arial" w:hAnsi="Arial"/>
          <w:sz w:val="24"/>
          <w:szCs w:val="24"/>
          <w:lang w:val="pt-PT" w:eastAsia="en-US"/>
        </w:rPr>
        <w:t xml:space="preserve"> </w:t>
      </w:r>
      <w:r>
        <w:rPr>
          <w:rFonts w:ascii="Arial" w:hAnsi="Arial"/>
          <w:sz w:val="24"/>
          <w:szCs w:val="24"/>
          <w:lang w:val="pt-PT" w:eastAsia="pt-BR"/>
        </w:rPr>
        <w:t>Direção: Elétrica; Segurança:</w:t>
      </w:r>
      <w:r>
        <w:rPr>
          <w:rFonts w:ascii="Arial" w:hAnsi="Arial"/>
          <w:sz w:val="24"/>
          <w:szCs w:val="24"/>
          <w:lang w:val="pt-PT" w:eastAsia="en-US"/>
        </w:rPr>
        <w:t xml:space="preserve"> Freios ABS, Airbags, Controle de Tração/Estabilidade e Alarme</w:t>
      </w:r>
      <w:r>
        <w:rPr>
          <w:rFonts w:ascii="Arial" w:hAnsi="Arial"/>
          <w:sz w:val="24"/>
          <w:szCs w:val="24"/>
          <w:lang w:val="pt-PT" w:eastAsia="pt-BR"/>
        </w:rPr>
        <w:t xml:space="preserve">; Conforto/Tecnologia: </w:t>
      </w:r>
      <w:r>
        <w:rPr>
          <w:rFonts w:ascii="Arial" w:hAnsi="Arial"/>
          <w:sz w:val="24"/>
          <w:szCs w:val="24"/>
          <w:lang w:val="pt-PT" w:eastAsia="en-US"/>
        </w:rPr>
        <w:t>Ar-condicionado, vidros/travas elétricas, som (rádio AM/FM, USB, Bluetooth), películas de proteção solar em todos os vidros</w:t>
      </w:r>
      <w:r>
        <w:rPr>
          <w:rFonts w:ascii="Arial" w:hAnsi="Arial"/>
          <w:sz w:val="24"/>
          <w:szCs w:val="24"/>
          <w:lang w:val="pt-PT" w:eastAsia="pt-BR"/>
        </w:rPr>
        <w:t>, kit multimídia;</w:t>
      </w:r>
      <w:r>
        <w:rPr>
          <w:rFonts w:ascii="Arial" w:hAnsi="Arial"/>
          <w:sz w:val="24"/>
          <w:szCs w:val="24"/>
          <w:lang w:val="pt-PT" w:eastAsia="en-US"/>
        </w:rPr>
        <w:t xml:space="preserve"> sensores e/ou câmera de ré; </w:t>
      </w:r>
      <w:r>
        <w:rPr>
          <w:rStyle w:val="nfaseforte"/>
          <w:rFonts w:ascii="Arial" w:hAnsi="Arial"/>
          <w:sz w:val="24"/>
          <w:szCs w:val="24"/>
          <w:lang w:val="pt-PT" w:eastAsia="en-US"/>
        </w:rPr>
        <w:t xml:space="preserve">Itens de Fábrica/Contran: </w:t>
      </w:r>
      <w:r>
        <w:rPr>
          <w:rFonts w:ascii="Arial" w:hAnsi="Arial"/>
          <w:sz w:val="24"/>
          <w:szCs w:val="24"/>
          <w:lang w:val="pt-PT" w:eastAsia="en-US"/>
        </w:rPr>
        <w:t>Ferramentas, estepe, tapetes, kit de segurança</w:t>
      </w:r>
      <w:r>
        <w:rPr>
          <w:rFonts w:ascii="Arial" w:hAnsi="Arial"/>
          <w:sz w:val="24"/>
          <w:szCs w:val="24"/>
          <w:lang w:val="pt-PT" w:eastAsia="pt-BR"/>
        </w:rPr>
        <w:t xml:space="preserve">; </w:t>
      </w:r>
      <w:r>
        <w:rPr>
          <w:rFonts w:ascii="Arial" w:hAnsi="Arial"/>
          <w:sz w:val="24"/>
          <w:szCs w:val="24"/>
          <w:lang w:val="pt-PT" w:eastAsia="en-US"/>
        </w:rPr>
        <w:t>Cor: Preto, Plotagem: Sem plotagem</w:t>
      </w:r>
    </w:p>
    <w:p w14:paraId="336BB2E6" w14:textId="77777777" w:rsidR="001A6CDD" w:rsidRDefault="00A40F83">
      <w:pPr>
        <w:spacing w:line="276" w:lineRule="auto"/>
        <w:jc w:val="both"/>
        <w:rPr>
          <w:rFonts w:ascii="Arial" w:hAnsi="Arial"/>
          <w:sz w:val="24"/>
          <w:szCs w:val="24"/>
        </w:rPr>
      </w:pPr>
      <w:r>
        <w:rPr>
          <w:rFonts w:ascii="Arial" w:hAnsi="Arial" w:cs="Arial"/>
          <w:sz w:val="24"/>
          <w:szCs w:val="24"/>
          <w:lang w:val="pt-PT" w:eastAsia="en-US"/>
        </w:rPr>
        <w:t>Referência: Trailblazer</w:t>
      </w:r>
    </w:p>
    <w:p w14:paraId="45BADF12" w14:textId="77777777" w:rsidR="001A6CDD" w:rsidRDefault="001A6CDD">
      <w:pPr>
        <w:pStyle w:val="LO-Normal"/>
        <w:spacing w:line="360" w:lineRule="auto"/>
        <w:jc w:val="both"/>
        <w:rPr>
          <w:rFonts w:ascii="Arial" w:hAnsi="Arial" w:cs="Arial"/>
          <w:sz w:val="24"/>
          <w:szCs w:val="24"/>
        </w:rPr>
      </w:pPr>
    </w:p>
    <w:p w14:paraId="2D0C9440" w14:textId="2DD1D320"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5. ESTIMATIVA DAS QUANTIDADE</w:t>
      </w:r>
      <w:r w:rsidR="006C1449">
        <w:rPr>
          <w:rFonts w:ascii="Arial" w:hAnsi="Arial" w:cs="Arial"/>
          <w:b/>
          <w:bCs/>
          <w:color w:val="000000"/>
          <w:sz w:val="24"/>
          <w:szCs w:val="24"/>
        </w:rPr>
        <w:t>S</w:t>
      </w:r>
      <w:r>
        <w:rPr>
          <w:rFonts w:ascii="Arial" w:hAnsi="Arial" w:cs="Arial"/>
          <w:b/>
          <w:bCs/>
          <w:color w:val="000000"/>
          <w:sz w:val="24"/>
          <w:szCs w:val="24"/>
        </w:rPr>
        <w:t xml:space="preserve"> E VALORES</w:t>
      </w:r>
    </w:p>
    <w:p w14:paraId="56A02581"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5.1</w:t>
      </w:r>
      <w:r>
        <w:rPr>
          <w:rFonts w:ascii="Arial" w:hAnsi="Arial" w:cs="Arial"/>
          <w:color w:val="000000"/>
          <w:sz w:val="24"/>
          <w:szCs w:val="24"/>
        </w:rPr>
        <w:t xml:space="preserve"> O quantitativo e valores do presente objeto encontram-se descritos no item 1.2 do Termo de Referência.</w:t>
      </w:r>
    </w:p>
    <w:p w14:paraId="58CB9FED" w14:textId="77777777" w:rsidR="001A6CDD" w:rsidRDefault="001A6CDD">
      <w:pPr>
        <w:pStyle w:val="LO-Normal"/>
        <w:spacing w:line="360" w:lineRule="auto"/>
        <w:jc w:val="both"/>
        <w:rPr>
          <w:rFonts w:ascii="Arial" w:hAnsi="Arial" w:cs="Arial"/>
          <w:color w:val="FF0000"/>
          <w:sz w:val="24"/>
          <w:szCs w:val="24"/>
        </w:rPr>
      </w:pPr>
    </w:p>
    <w:p w14:paraId="422CEAB9"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6. LEVANTAMENTO DE MERCADO</w:t>
      </w:r>
    </w:p>
    <w:p w14:paraId="5035A2C2" w14:textId="2CD04910"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6.1</w:t>
      </w:r>
      <w:r>
        <w:rPr>
          <w:rFonts w:ascii="Arial" w:hAnsi="Arial" w:cs="Arial"/>
          <w:color w:val="000000"/>
          <w:sz w:val="24"/>
          <w:szCs w:val="24"/>
        </w:rPr>
        <w:t xml:space="preserve"> Para a realização desta contratação, foi elaborado pesquisa de mercado através de fornecedores, contratações similares feitas por outros órgãos e entidades, e sítios eletrônicos, de acordo com as Instruções Normativas Municipai</w:t>
      </w:r>
      <w:r w:rsidR="001578D5">
        <w:rPr>
          <w:rFonts w:ascii="Arial" w:hAnsi="Arial" w:cs="Arial"/>
          <w:color w:val="000000"/>
          <w:sz w:val="24"/>
          <w:szCs w:val="24"/>
        </w:rPr>
        <w:t xml:space="preserve">s </w:t>
      </w:r>
      <w:r>
        <w:rPr>
          <w:rFonts w:ascii="Arial" w:hAnsi="Arial" w:cs="Arial"/>
          <w:color w:val="000000"/>
          <w:sz w:val="24"/>
          <w:szCs w:val="24"/>
        </w:rPr>
        <w:t xml:space="preserve">n.º 003/2015, 005/2018 e Acordão </w:t>
      </w:r>
      <w:r>
        <w:rPr>
          <w:rFonts w:ascii="Arial" w:hAnsi="Arial" w:cs="Arial"/>
          <w:bCs/>
          <w:color w:val="000000"/>
          <w:sz w:val="24"/>
          <w:szCs w:val="24"/>
        </w:rPr>
        <w:t>3569</w:t>
      </w:r>
      <w:r>
        <w:rPr>
          <w:rFonts w:ascii="Arial" w:hAnsi="Arial" w:cs="Arial"/>
          <w:color w:val="000000"/>
          <w:sz w:val="24"/>
          <w:szCs w:val="24"/>
        </w:rPr>
        <w:t>/2023.</w:t>
      </w:r>
    </w:p>
    <w:p w14:paraId="34B1C75E"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lastRenderedPageBreak/>
        <w:t>6.2</w:t>
      </w:r>
      <w:r>
        <w:rPr>
          <w:rFonts w:ascii="Arial" w:hAnsi="Arial" w:cs="Arial"/>
          <w:color w:val="000000"/>
          <w:sz w:val="24"/>
          <w:szCs w:val="24"/>
        </w:rPr>
        <w:t xml:space="preserve"> Durante a fase da pesquisa de preços junto a Administração Pública, observou-se que a modalidade de licitação utilizada é o pregão eletrônico, que tem como tipo menor preço. A solução encontrada será por meio de sistema de registro de preço pelo fato de a contratação desse tipo de serviços ter previsão de execução parcelada.</w:t>
      </w:r>
    </w:p>
    <w:p w14:paraId="233A214A"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6.3</w:t>
      </w:r>
      <w:r>
        <w:rPr>
          <w:rFonts w:ascii="Arial" w:hAnsi="Arial" w:cs="Arial"/>
          <w:color w:val="000000"/>
          <w:sz w:val="24"/>
          <w:szCs w:val="24"/>
        </w:rPr>
        <w:t xml:space="preserve"> Portanto, com base em levantamento de mercado, o tipo de solução escolhida é que mais se aproxima dos requisitos definidos e que mais promove a competição, levando em conta economicidade, eficácia, eficiência, padronização e práticas do mercado.</w:t>
      </w:r>
    </w:p>
    <w:p w14:paraId="081BD9F2"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6.4</w:t>
      </w:r>
      <w:r>
        <w:rPr>
          <w:rFonts w:ascii="Arial" w:hAnsi="Arial" w:cs="Arial"/>
          <w:color w:val="000000"/>
          <w:sz w:val="24"/>
          <w:szCs w:val="24"/>
        </w:rPr>
        <w:t xml:space="preserve"> Convém ressaltar que a Administração Pública tem acompanhado com atenção a jurisprudência emanada do controle externo, de modo a incorporar em seus processos de contratação os avanços e melhorias proporcionados pelo exame de casos concretos das aquisições de outros órgãos do Estado do Paraná, e em decorrência, obter contratações mais seguras e eficientes.</w:t>
      </w:r>
    </w:p>
    <w:p w14:paraId="2F84C606" w14:textId="77777777" w:rsidR="001A6CDD" w:rsidRDefault="001A6CDD">
      <w:pPr>
        <w:pStyle w:val="LO-Normal"/>
        <w:spacing w:line="360" w:lineRule="auto"/>
        <w:jc w:val="both"/>
        <w:rPr>
          <w:rFonts w:ascii="Arial" w:hAnsi="Arial" w:cs="Arial"/>
          <w:b/>
          <w:bCs/>
          <w:sz w:val="24"/>
          <w:szCs w:val="24"/>
        </w:rPr>
      </w:pPr>
    </w:p>
    <w:p w14:paraId="13AD94FF"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7. ALTERNATIVAS ANALISADAS</w:t>
      </w:r>
    </w:p>
    <w:p w14:paraId="0539B2B0"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7.1</w:t>
      </w:r>
      <w:r>
        <w:rPr>
          <w:rFonts w:ascii="Arial" w:hAnsi="Arial" w:cs="Arial"/>
          <w:b/>
          <w:bCs/>
          <w:sz w:val="24"/>
          <w:szCs w:val="24"/>
        </w:rPr>
        <w:t xml:space="preserve"> Tabela</w:t>
      </w:r>
    </w:p>
    <w:tbl>
      <w:tblPr>
        <w:tblW w:w="7995" w:type="dxa"/>
        <w:tblCellMar>
          <w:top w:w="55" w:type="dxa"/>
          <w:left w:w="55" w:type="dxa"/>
          <w:bottom w:w="55" w:type="dxa"/>
          <w:right w:w="55" w:type="dxa"/>
        </w:tblCellMar>
        <w:tblLook w:val="04A0" w:firstRow="1" w:lastRow="0" w:firstColumn="1" w:lastColumn="0" w:noHBand="0" w:noVBand="1"/>
      </w:tblPr>
      <w:tblGrid>
        <w:gridCol w:w="3058"/>
        <w:gridCol w:w="2204"/>
        <w:gridCol w:w="2733"/>
      </w:tblGrid>
      <w:tr w:rsidR="001A6CDD" w14:paraId="37EC70E2" w14:textId="77777777">
        <w:tc>
          <w:tcPr>
            <w:tcW w:w="3058" w:type="dxa"/>
            <w:tcBorders>
              <w:top w:val="single" w:sz="2" w:space="0" w:color="000000"/>
              <w:left w:val="single" w:sz="2" w:space="0" w:color="000000"/>
              <w:bottom w:val="single" w:sz="2" w:space="0" w:color="000000"/>
            </w:tcBorders>
            <w:shd w:val="clear" w:color="auto" w:fill="auto"/>
          </w:tcPr>
          <w:p w14:paraId="1188B852" w14:textId="77777777" w:rsidR="001A6CDD" w:rsidRDefault="00A40F83">
            <w:pPr>
              <w:pStyle w:val="Contedodatabela"/>
              <w:jc w:val="center"/>
              <w:rPr>
                <w:rFonts w:ascii="Arial" w:hAnsi="Arial"/>
                <w:sz w:val="24"/>
                <w:szCs w:val="24"/>
              </w:rPr>
            </w:pPr>
            <w:r>
              <w:rPr>
                <w:rFonts w:ascii="Arial" w:hAnsi="Arial"/>
                <w:sz w:val="24"/>
                <w:szCs w:val="24"/>
              </w:rPr>
              <w:t>ALTERNATIVAS</w:t>
            </w:r>
          </w:p>
        </w:tc>
        <w:tc>
          <w:tcPr>
            <w:tcW w:w="2204" w:type="dxa"/>
            <w:tcBorders>
              <w:top w:val="single" w:sz="2" w:space="0" w:color="000000"/>
              <w:left w:val="single" w:sz="2" w:space="0" w:color="000000"/>
              <w:bottom w:val="single" w:sz="2" w:space="0" w:color="000000"/>
            </w:tcBorders>
            <w:shd w:val="clear" w:color="auto" w:fill="auto"/>
          </w:tcPr>
          <w:p w14:paraId="4513E5F9" w14:textId="77777777" w:rsidR="001A6CDD" w:rsidRDefault="00A40F83">
            <w:pPr>
              <w:pStyle w:val="Contedodatabela"/>
              <w:jc w:val="center"/>
              <w:rPr>
                <w:rFonts w:ascii="Arial" w:hAnsi="Arial"/>
                <w:sz w:val="24"/>
                <w:szCs w:val="24"/>
              </w:rPr>
            </w:pPr>
            <w:r>
              <w:rPr>
                <w:rFonts w:ascii="Arial" w:hAnsi="Arial"/>
                <w:sz w:val="24"/>
                <w:szCs w:val="24"/>
              </w:rPr>
              <w:t xml:space="preserve">VANTAGENS </w:t>
            </w:r>
          </w:p>
        </w:tc>
        <w:tc>
          <w:tcPr>
            <w:tcW w:w="2733" w:type="dxa"/>
            <w:tcBorders>
              <w:top w:val="single" w:sz="2" w:space="0" w:color="000000"/>
              <w:left w:val="single" w:sz="2" w:space="0" w:color="000000"/>
              <w:bottom w:val="single" w:sz="2" w:space="0" w:color="000000"/>
              <w:right w:val="single" w:sz="2" w:space="0" w:color="000000"/>
            </w:tcBorders>
            <w:shd w:val="clear" w:color="auto" w:fill="auto"/>
          </w:tcPr>
          <w:p w14:paraId="276A668A" w14:textId="77777777" w:rsidR="001A6CDD" w:rsidRDefault="00A40F83">
            <w:pPr>
              <w:pStyle w:val="Contedodatabela"/>
              <w:jc w:val="center"/>
              <w:rPr>
                <w:rFonts w:ascii="Arial" w:hAnsi="Arial"/>
                <w:sz w:val="24"/>
                <w:szCs w:val="24"/>
              </w:rPr>
            </w:pPr>
            <w:r>
              <w:rPr>
                <w:rFonts w:ascii="Arial" w:hAnsi="Arial"/>
                <w:sz w:val="24"/>
                <w:szCs w:val="24"/>
              </w:rPr>
              <w:t>DESVANTAGENS</w:t>
            </w:r>
          </w:p>
        </w:tc>
      </w:tr>
      <w:tr w:rsidR="001A6CDD" w14:paraId="234BDB00" w14:textId="77777777">
        <w:trPr>
          <w:trHeight w:val="1023"/>
        </w:trPr>
        <w:tc>
          <w:tcPr>
            <w:tcW w:w="3058" w:type="dxa"/>
            <w:tcBorders>
              <w:left w:val="single" w:sz="2" w:space="0" w:color="000000"/>
              <w:bottom w:val="single" w:sz="2" w:space="0" w:color="000000"/>
            </w:tcBorders>
            <w:shd w:val="clear" w:color="auto" w:fill="auto"/>
          </w:tcPr>
          <w:p w14:paraId="04B36326" w14:textId="77777777" w:rsidR="001A6CDD" w:rsidRDefault="00A40F83">
            <w:pPr>
              <w:pStyle w:val="Contedodatabela"/>
              <w:rPr>
                <w:rFonts w:ascii="Arial" w:hAnsi="Arial"/>
                <w:sz w:val="24"/>
                <w:szCs w:val="24"/>
              </w:rPr>
            </w:pPr>
            <w:r>
              <w:rPr>
                <w:rFonts w:ascii="Arial" w:hAnsi="Arial"/>
                <w:sz w:val="24"/>
                <w:szCs w:val="24"/>
              </w:rPr>
              <w:t>Aquisição de veículo Próprio</w:t>
            </w:r>
          </w:p>
        </w:tc>
        <w:tc>
          <w:tcPr>
            <w:tcW w:w="2204" w:type="dxa"/>
            <w:tcBorders>
              <w:left w:val="single" w:sz="2" w:space="0" w:color="000000"/>
              <w:bottom w:val="single" w:sz="2" w:space="0" w:color="000000"/>
            </w:tcBorders>
            <w:shd w:val="clear" w:color="auto" w:fill="auto"/>
          </w:tcPr>
          <w:p w14:paraId="70EF627F" w14:textId="77777777" w:rsidR="001A6CDD" w:rsidRDefault="00A40F83">
            <w:pPr>
              <w:pStyle w:val="Contedodatabela"/>
              <w:rPr>
                <w:rFonts w:ascii="Arial" w:hAnsi="Arial"/>
                <w:sz w:val="24"/>
                <w:szCs w:val="24"/>
              </w:rPr>
            </w:pPr>
            <w:r>
              <w:rPr>
                <w:rFonts w:ascii="Arial" w:hAnsi="Arial"/>
                <w:sz w:val="24"/>
                <w:szCs w:val="24"/>
              </w:rPr>
              <w:t>Patrimônio do Município</w:t>
            </w:r>
          </w:p>
        </w:tc>
        <w:tc>
          <w:tcPr>
            <w:tcW w:w="2733" w:type="dxa"/>
            <w:tcBorders>
              <w:left w:val="single" w:sz="2" w:space="0" w:color="000000"/>
              <w:bottom w:val="single" w:sz="2" w:space="0" w:color="000000"/>
              <w:right w:val="single" w:sz="2" w:space="0" w:color="000000"/>
            </w:tcBorders>
            <w:shd w:val="clear" w:color="auto" w:fill="auto"/>
          </w:tcPr>
          <w:p w14:paraId="2AA29D18" w14:textId="77777777" w:rsidR="001A6CDD" w:rsidRDefault="00A40F83">
            <w:pPr>
              <w:pStyle w:val="Contedodatabela"/>
              <w:rPr>
                <w:rFonts w:ascii="Arial" w:hAnsi="Arial"/>
                <w:sz w:val="24"/>
                <w:szCs w:val="24"/>
              </w:rPr>
            </w:pPr>
            <w:r>
              <w:rPr>
                <w:rFonts w:ascii="Arial" w:hAnsi="Arial"/>
                <w:sz w:val="24"/>
                <w:szCs w:val="24"/>
              </w:rPr>
              <w:t>Alto custo inicial</w:t>
            </w:r>
          </w:p>
          <w:p w14:paraId="3B717E68" w14:textId="77777777" w:rsidR="001A6CDD" w:rsidRDefault="00A40F83">
            <w:pPr>
              <w:pStyle w:val="Contedodatabela"/>
              <w:rPr>
                <w:rFonts w:ascii="Arial" w:hAnsi="Arial"/>
                <w:sz w:val="24"/>
                <w:szCs w:val="24"/>
              </w:rPr>
            </w:pPr>
            <w:r>
              <w:rPr>
                <w:rFonts w:ascii="Arial" w:hAnsi="Arial"/>
                <w:sz w:val="24"/>
                <w:szCs w:val="24"/>
              </w:rPr>
              <w:t>Gastos com Manutenção</w:t>
            </w:r>
          </w:p>
          <w:p w14:paraId="0C0B29B6" w14:textId="77777777" w:rsidR="001A6CDD" w:rsidRDefault="00A40F83">
            <w:pPr>
              <w:pStyle w:val="Contedodatabela"/>
              <w:rPr>
                <w:rFonts w:ascii="Arial" w:hAnsi="Arial"/>
                <w:sz w:val="24"/>
                <w:szCs w:val="24"/>
              </w:rPr>
            </w:pPr>
            <w:r>
              <w:rPr>
                <w:rFonts w:ascii="Arial" w:hAnsi="Arial"/>
                <w:sz w:val="24"/>
                <w:szCs w:val="24"/>
              </w:rPr>
              <w:t>Depreciação da Frota</w:t>
            </w:r>
          </w:p>
        </w:tc>
      </w:tr>
      <w:tr w:rsidR="001A6CDD" w14:paraId="12341C38" w14:textId="77777777">
        <w:tc>
          <w:tcPr>
            <w:tcW w:w="3058" w:type="dxa"/>
            <w:tcBorders>
              <w:left w:val="single" w:sz="2" w:space="0" w:color="000000"/>
              <w:bottom w:val="single" w:sz="2" w:space="0" w:color="000000"/>
            </w:tcBorders>
            <w:shd w:val="clear" w:color="auto" w:fill="auto"/>
          </w:tcPr>
          <w:p w14:paraId="301D4519" w14:textId="77777777" w:rsidR="001A6CDD" w:rsidRDefault="00A40F83">
            <w:pPr>
              <w:pStyle w:val="Contedodatabela"/>
              <w:rPr>
                <w:rFonts w:ascii="Arial" w:hAnsi="Arial"/>
                <w:sz w:val="24"/>
                <w:szCs w:val="24"/>
              </w:rPr>
            </w:pPr>
            <w:r>
              <w:rPr>
                <w:rFonts w:ascii="Arial" w:hAnsi="Arial"/>
                <w:sz w:val="24"/>
                <w:szCs w:val="24"/>
              </w:rPr>
              <w:t>Uso de frota existente</w:t>
            </w:r>
          </w:p>
        </w:tc>
        <w:tc>
          <w:tcPr>
            <w:tcW w:w="2204" w:type="dxa"/>
            <w:tcBorders>
              <w:left w:val="single" w:sz="2" w:space="0" w:color="000000"/>
              <w:bottom w:val="single" w:sz="2" w:space="0" w:color="000000"/>
            </w:tcBorders>
            <w:shd w:val="clear" w:color="auto" w:fill="auto"/>
          </w:tcPr>
          <w:p w14:paraId="6DF0AF77" w14:textId="77777777" w:rsidR="001A6CDD" w:rsidRDefault="00A40F83">
            <w:pPr>
              <w:pStyle w:val="Contedodatabela"/>
              <w:rPr>
                <w:rFonts w:ascii="Arial" w:hAnsi="Arial"/>
                <w:sz w:val="24"/>
                <w:szCs w:val="24"/>
              </w:rPr>
            </w:pPr>
            <w:r>
              <w:rPr>
                <w:rFonts w:ascii="Arial" w:hAnsi="Arial"/>
                <w:sz w:val="24"/>
                <w:szCs w:val="24"/>
              </w:rPr>
              <w:t>Sem novos contratos</w:t>
            </w:r>
          </w:p>
        </w:tc>
        <w:tc>
          <w:tcPr>
            <w:tcW w:w="2733" w:type="dxa"/>
            <w:tcBorders>
              <w:left w:val="single" w:sz="2" w:space="0" w:color="000000"/>
              <w:bottom w:val="single" w:sz="2" w:space="0" w:color="000000"/>
              <w:right w:val="single" w:sz="2" w:space="0" w:color="000000"/>
            </w:tcBorders>
            <w:shd w:val="clear" w:color="auto" w:fill="auto"/>
          </w:tcPr>
          <w:p w14:paraId="45884AD6" w14:textId="77777777" w:rsidR="001A6CDD" w:rsidRDefault="00A40F83">
            <w:pPr>
              <w:pStyle w:val="Contedodatabela"/>
              <w:rPr>
                <w:rFonts w:ascii="Arial" w:hAnsi="Arial"/>
                <w:sz w:val="24"/>
                <w:szCs w:val="24"/>
              </w:rPr>
            </w:pPr>
            <w:r>
              <w:rPr>
                <w:rFonts w:ascii="Arial" w:hAnsi="Arial"/>
                <w:sz w:val="24"/>
                <w:szCs w:val="24"/>
              </w:rPr>
              <w:t>Frota insuficiente ou</w:t>
            </w:r>
          </w:p>
          <w:p w14:paraId="18ABCF15" w14:textId="77777777" w:rsidR="001A6CDD" w:rsidRDefault="00A40F83">
            <w:pPr>
              <w:pStyle w:val="Contedodatabela"/>
              <w:rPr>
                <w:rFonts w:ascii="Arial" w:hAnsi="Arial"/>
                <w:sz w:val="24"/>
                <w:szCs w:val="24"/>
              </w:rPr>
            </w:pPr>
            <w:r>
              <w:rPr>
                <w:rFonts w:ascii="Arial" w:hAnsi="Arial"/>
                <w:sz w:val="24"/>
                <w:szCs w:val="24"/>
              </w:rPr>
              <w:t>obsoleta</w:t>
            </w:r>
          </w:p>
        </w:tc>
      </w:tr>
      <w:tr w:rsidR="001A6CDD" w14:paraId="69328817" w14:textId="77777777">
        <w:tc>
          <w:tcPr>
            <w:tcW w:w="3058" w:type="dxa"/>
            <w:tcBorders>
              <w:left w:val="single" w:sz="2" w:space="0" w:color="000000"/>
              <w:bottom w:val="single" w:sz="2" w:space="0" w:color="000000"/>
            </w:tcBorders>
            <w:shd w:val="clear" w:color="auto" w:fill="auto"/>
          </w:tcPr>
          <w:p w14:paraId="742B3DAC" w14:textId="77777777" w:rsidR="001A6CDD" w:rsidRDefault="00A40F83">
            <w:pPr>
              <w:pStyle w:val="Contedodatabela"/>
              <w:rPr>
                <w:rFonts w:ascii="Arial" w:hAnsi="Arial"/>
                <w:sz w:val="24"/>
                <w:szCs w:val="24"/>
              </w:rPr>
            </w:pPr>
            <w:r>
              <w:rPr>
                <w:rFonts w:ascii="Arial" w:hAnsi="Arial"/>
                <w:sz w:val="24"/>
                <w:szCs w:val="24"/>
              </w:rPr>
              <w:t>Locação de Veículo</w:t>
            </w:r>
          </w:p>
        </w:tc>
        <w:tc>
          <w:tcPr>
            <w:tcW w:w="2204" w:type="dxa"/>
            <w:tcBorders>
              <w:left w:val="single" w:sz="2" w:space="0" w:color="000000"/>
              <w:bottom w:val="single" w:sz="2" w:space="0" w:color="000000"/>
            </w:tcBorders>
            <w:shd w:val="clear" w:color="auto" w:fill="auto"/>
          </w:tcPr>
          <w:p w14:paraId="39E9EB91" w14:textId="77777777" w:rsidR="001A6CDD" w:rsidRDefault="00A40F83">
            <w:pPr>
              <w:pStyle w:val="Contedodatabela"/>
              <w:rPr>
                <w:rFonts w:ascii="Arial" w:hAnsi="Arial"/>
                <w:sz w:val="24"/>
                <w:szCs w:val="24"/>
              </w:rPr>
            </w:pPr>
            <w:r>
              <w:rPr>
                <w:rFonts w:ascii="Arial" w:hAnsi="Arial"/>
                <w:sz w:val="24"/>
                <w:szCs w:val="24"/>
              </w:rPr>
              <w:t>Menor custo Inicial</w:t>
            </w:r>
          </w:p>
          <w:p w14:paraId="5DFEEBB9" w14:textId="77777777" w:rsidR="001A6CDD" w:rsidRDefault="00A40F83">
            <w:pPr>
              <w:pStyle w:val="Contedodatabela"/>
              <w:rPr>
                <w:rFonts w:ascii="Arial" w:hAnsi="Arial"/>
                <w:sz w:val="24"/>
                <w:szCs w:val="24"/>
              </w:rPr>
            </w:pPr>
            <w:r>
              <w:rPr>
                <w:rFonts w:ascii="Arial" w:hAnsi="Arial"/>
                <w:sz w:val="24"/>
                <w:szCs w:val="24"/>
              </w:rPr>
              <w:t>Manutenção inclusa</w:t>
            </w:r>
          </w:p>
          <w:p w14:paraId="17A5EE14" w14:textId="77777777" w:rsidR="001A6CDD" w:rsidRDefault="00A40F83">
            <w:pPr>
              <w:pStyle w:val="Contedodatabela"/>
              <w:rPr>
                <w:rFonts w:ascii="Arial" w:hAnsi="Arial"/>
                <w:sz w:val="24"/>
                <w:szCs w:val="24"/>
              </w:rPr>
            </w:pPr>
            <w:r>
              <w:rPr>
                <w:rFonts w:ascii="Arial" w:hAnsi="Arial"/>
                <w:sz w:val="24"/>
                <w:szCs w:val="24"/>
              </w:rPr>
              <w:t>Renovação da Frota</w:t>
            </w:r>
          </w:p>
        </w:tc>
        <w:tc>
          <w:tcPr>
            <w:tcW w:w="2733" w:type="dxa"/>
            <w:tcBorders>
              <w:left w:val="single" w:sz="2" w:space="0" w:color="000000"/>
              <w:bottom w:val="single" w:sz="2" w:space="0" w:color="000000"/>
              <w:right w:val="single" w:sz="2" w:space="0" w:color="000000"/>
            </w:tcBorders>
            <w:shd w:val="clear" w:color="auto" w:fill="auto"/>
          </w:tcPr>
          <w:p w14:paraId="53AB2EE2" w14:textId="77777777" w:rsidR="001A6CDD" w:rsidRDefault="00A40F83">
            <w:pPr>
              <w:pStyle w:val="Contedodatabela"/>
              <w:rPr>
                <w:rFonts w:ascii="Arial" w:hAnsi="Arial"/>
                <w:sz w:val="24"/>
                <w:szCs w:val="24"/>
              </w:rPr>
            </w:pPr>
            <w:r>
              <w:rPr>
                <w:rFonts w:ascii="Arial" w:hAnsi="Arial"/>
                <w:sz w:val="24"/>
                <w:szCs w:val="24"/>
              </w:rPr>
              <w:t>Pagamento contínuo sem aquisição de ativo</w:t>
            </w:r>
          </w:p>
        </w:tc>
      </w:tr>
    </w:tbl>
    <w:p w14:paraId="529BBB16" w14:textId="77777777" w:rsidR="001A6CDD" w:rsidRDefault="001A6CDD">
      <w:pPr>
        <w:pStyle w:val="LO-Normal"/>
        <w:spacing w:line="360" w:lineRule="auto"/>
        <w:jc w:val="both"/>
        <w:rPr>
          <w:rFonts w:ascii="Arial" w:hAnsi="Arial" w:cs="Arial"/>
          <w:b/>
          <w:bCs/>
          <w:sz w:val="24"/>
          <w:szCs w:val="24"/>
        </w:rPr>
      </w:pPr>
    </w:p>
    <w:p w14:paraId="3B6527F0"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7.2</w:t>
      </w:r>
      <w:r>
        <w:rPr>
          <w:rFonts w:ascii="Arial" w:hAnsi="Arial" w:cs="Arial"/>
          <w:sz w:val="24"/>
          <w:szCs w:val="24"/>
        </w:rPr>
        <w:t xml:space="preserve"> Diante da Análise, a locação de veículos é a opção mais vantajosa, especialmente por não exigir imobilização de capital e reduzir riscos operacionais.</w:t>
      </w:r>
    </w:p>
    <w:p w14:paraId="32BA0013" w14:textId="77777777" w:rsidR="001A6CDD" w:rsidRDefault="001A6CDD">
      <w:pPr>
        <w:pStyle w:val="LO-Normal"/>
        <w:spacing w:line="360" w:lineRule="auto"/>
        <w:jc w:val="both"/>
        <w:rPr>
          <w:rFonts w:ascii="Arial" w:hAnsi="Arial" w:cs="Arial"/>
          <w:sz w:val="24"/>
          <w:szCs w:val="24"/>
        </w:rPr>
      </w:pPr>
    </w:p>
    <w:p w14:paraId="24A1A33C"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8. JUSTIFICATIVA DA ESCOLHA DA SOLUÇÃO</w:t>
      </w:r>
    </w:p>
    <w:p w14:paraId="67FFEF77"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lastRenderedPageBreak/>
        <w:t>8.1</w:t>
      </w:r>
      <w:r>
        <w:rPr>
          <w:rFonts w:ascii="Arial" w:hAnsi="Arial" w:cs="Arial"/>
          <w:sz w:val="24"/>
          <w:szCs w:val="24"/>
        </w:rPr>
        <w:t xml:space="preserve"> A locação atende integralmente às necessidades da Administração, oferecendo flexibilidade, economicidade e eficiência, além de permitir a rápida substituição de veículos com defeitos e a redução de custos indiretos relacionados à frota própria.</w:t>
      </w:r>
    </w:p>
    <w:p w14:paraId="60928AAF" w14:textId="77777777" w:rsidR="001A6CDD" w:rsidRDefault="001A6CDD">
      <w:pPr>
        <w:pStyle w:val="LO-Normal"/>
        <w:spacing w:line="360" w:lineRule="auto"/>
        <w:jc w:val="both"/>
        <w:rPr>
          <w:rFonts w:ascii="Arial" w:hAnsi="Arial" w:cs="Arial"/>
          <w:b/>
          <w:bCs/>
          <w:sz w:val="24"/>
          <w:szCs w:val="24"/>
        </w:rPr>
      </w:pPr>
    </w:p>
    <w:p w14:paraId="70DF4F56"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9. IMPACTO ORÇAMENTÁRIO</w:t>
      </w:r>
    </w:p>
    <w:p w14:paraId="41F3886F"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9.1</w:t>
      </w:r>
      <w:r>
        <w:rPr>
          <w:rFonts w:ascii="Arial" w:hAnsi="Arial" w:cs="Arial"/>
          <w:sz w:val="24"/>
          <w:szCs w:val="24"/>
        </w:rPr>
        <w:t xml:space="preserve"> Os recursos financeiros necessários estão previstos na dotação orçamentária de cada secretaria solicitada.</w:t>
      </w:r>
    </w:p>
    <w:p w14:paraId="36C5DD45" w14:textId="77777777" w:rsidR="001A6CDD" w:rsidRDefault="001A6CDD">
      <w:pPr>
        <w:pStyle w:val="LO-Normal"/>
        <w:spacing w:line="360" w:lineRule="auto"/>
        <w:jc w:val="both"/>
        <w:rPr>
          <w:rFonts w:ascii="Arial" w:hAnsi="Arial" w:cs="Arial"/>
          <w:sz w:val="24"/>
          <w:szCs w:val="24"/>
        </w:rPr>
      </w:pPr>
    </w:p>
    <w:p w14:paraId="5FC67CD3"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 xml:space="preserve">10. </w:t>
      </w:r>
      <w:r>
        <w:rPr>
          <w:rFonts w:ascii="Arial" w:hAnsi="Arial" w:cs="Arial"/>
          <w:b/>
          <w:bCs/>
          <w:caps/>
          <w:color w:val="000000"/>
          <w:sz w:val="24"/>
          <w:szCs w:val="24"/>
        </w:rPr>
        <w:t>justificativa para o parcelamento ou não da contratação</w:t>
      </w:r>
    </w:p>
    <w:p w14:paraId="5CAFA5E8"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10.1</w:t>
      </w:r>
      <w:r>
        <w:rPr>
          <w:rFonts w:ascii="Arial" w:hAnsi="Arial" w:cs="Arial"/>
          <w:color w:val="000000"/>
          <w:sz w:val="24"/>
          <w:szCs w:val="24"/>
        </w:rPr>
        <w:t xml:space="preserve"> O parcelamento consiste em dividir a solução em itens ou os itens em lotes, em que cada parte será um objeto de licitação autônomo, a ser, portanto, licitado ou adjudicado separadamente</w:t>
      </w:r>
      <w:r>
        <w:rPr>
          <w:rFonts w:ascii="Arial" w:hAnsi="Arial" w:cs="Arial"/>
          <w:b/>
          <w:bCs/>
          <w:color w:val="000000"/>
          <w:sz w:val="24"/>
          <w:szCs w:val="24"/>
        </w:rPr>
        <w:t>.</w:t>
      </w:r>
    </w:p>
    <w:p w14:paraId="597CADC4"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10.2</w:t>
      </w:r>
      <w:r>
        <w:rPr>
          <w:rFonts w:ascii="Arial" w:hAnsi="Arial" w:cs="Arial"/>
          <w:b/>
          <w:bCs/>
          <w:color w:val="000000"/>
          <w:sz w:val="24"/>
          <w:szCs w:val="24"/>
        </w:rPr>
        <w:t xml:space="preserve"> </w:t>
      </w:r>
      <w:r>
        <w:rPr>
          <w:rFonts w:ascii="Arial" w:hAnsi="Arial" w:cs="Arial"/>
          <w:color w:val="000000"/>
          <w:sz w:val="24"/>
          <w:szCs w:val="24"/>
        </w:rPr>
        <w:t>O objetivo do parcelamento é ampliar a competição com vistas à economicidade, devendo ser realizado desde que seja tecnicamente viável e economicamente vantajoso</w:t>
      </w:r>
      <w:r>
        <w:rPr>
          <w:rFonts w:ascii="Arial" w:hAnsi="Arial" w:cs="Arial"/>
          <w:b/>
          <w:bCs/>
          <w:color w:val="000000"/>
          <w:sz w:val="24"/>
          <w:szCs w:val="24"/>
        </w:rPr>
        <w:t>.</w:t>
      </w:r>
    </w:p>
    <w:p w14:paraId="1F23150B"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rPr>
        <w:t>10.3</w:t>
      </w:r>
      <w:r>
        <w:rPr>
          <w:rFonts w:ascii="Arial" w:hAnsi="Arial" w:cs="Arial"/>
          <w:color w:val="000000"/>
          <w:sz w:val="24"/>
          <w:szCs w:val="24"/>
        </w:rPr>
        <w:t xml:space="preserve"> Considerando a natureza do objeto é viável o parcelamento em itens.</w:t>
      </w:r>
    </w:p>
    <w:p w14:paraId="1FEAFC7F" w14:textId="77777777" w:rsidR="001A6CDD" w:rsidRDefault="001A6CDD">
      <w:pPr>
        <w:pStyle w:val="LO-Normal"/>
        <w:spacing w:line="360" w:lineRule="auto"/>
        <w:jc w:val="both"/>
        <w:rPr>
          <w:rFonts w:ascii="Arial" w:hAnsi="Arial" w:cs="Arial"/>
          <w:b/>
          <w:bCs/>
          <w:sz w:val="24"/>
          <w:szCs w:val="24"/>
        </w:rPr>
      </w:pPr>
    </w:p>
    <w:p w14:paraId="14E56224" w14:textId="77777777" w:rsidR="001A6CDD" w:rsidRDefault="00A40F83">
      <w:pPr>
        <w:pStyle w:val="LO-Normal"/>
        <w:spacing w:line="360" w:lineRule="auto"/>
        <w:jc w:val="both"/>
        <w:rPr>
          <w:rFonts w:ascii="Arial" w:hAnsi="Arial"/>
          <w:sz w:val="24"/>
          <w:szCs w:val="24"/>
        </w:rPr>
      </w:pPr>
      <w:r>
        <w:rPr>
          <w:rFonts w:ascii="Arial" w:hAnsi="Arial" w:cs="Arial"/>
          <w:b/>
          <w:bCs/>
          <w:sz w:val="24"/>
          <w:szCs w:val="24"/>
        </w:rPr>
        <w:t>11. DESCRIÇÃO DA SOLUÇÃO COMO UM TODO</w:t>
      </w:r>
    </w:p>
    <w:p w14:paraId="3EF2B5ED"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11.1</w:t>
      </w:r>
      <w:r>
        <w:rPr>
          <w:rFonts w:ascii="Arial" w:hAnsi="Arial" w:cs="Arial"/>
          <w:sz w:val="24"/>
          <w:szCs w:val="24"/>
        </w:rPr>
        <w:t>.</w:t>
      </w:r>
      <w:r>
        <w:rPr>
          <w:rFonts w:ascii="Arial" w:hAnsi="Arial" w:cs="Arial"/>
          <w:b/>
          <w:bCs/>
          <w:sz w:val="24"/>
          <w:szCs w:val="24"/>
        </w:rPr>
        <w:t xml:space="preserve"> </w:t>
      </w:r>
      <w:r>
        <w:rPr>
          <w:rFonts w:ascii="Arial" w:hAnsi="Arial" w:cs="Arial"/>
          <w:sz w:val="24"/>
          <w:szCs w:val="24"/>
        </w:rPr>
        <w:t>Considerando os diversos aspectos envolvidos na contratação do serviço de locação de veículos para atender a demanda do município, evidencia-se que a melhor opção é pela locação com pagamento mensal e contrato com vigência de 12 meses podendo ser prorrogado com vigência de até 5 (cinco) anos, como a melhor solução. Esta escolha é respaldada por uma série de vantagens que contribuem para o bom funcionamento da gestão pública e a otimização dos recursos disponíveis.</w:t>
      </w:r>
    </w:p>
    <w:p w14:paraId="003A1D71"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11.2</w:t>
      </w:r>
      <w:r>
        <w:rPr>
          <w:rFonts w:ascii="Arial" w:hAnsi="Arial" w:cs="Arial"/>
          <w:sz w:val="24"/>
          <w:szCs w:val="24"/>
        </w:rPr>
        <w:t>. O pagamento mensal oferece diversas vantagens em termos de previsibilidade financeira, simplificação administrativa, estímulo à eficiência e transparência, tornando-o uma opção atraente para serviços contínuos como o uso regular de veículos pela administração pública.</w:t>
      </w:r>
    </w:p>
    <w:p w14:paraId="50883172"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11.2.1</w:t>
      </w:r>
      <w:r>
        <w:rPr>
          <w:rFonts w:ascii="Arial" w:hAnsi="Arial" w:cs="Arial"/>
          <w:sz w:val="24"/>
          <w:szCs w:val="24"/>
        </w:rPr>
        <w:t xml:space="preserve">. Em primeiro lugar, o pagamento mensal oferece uma previsibilidade financeira fundamental para o planejamento orçamentário. Ao fixar os valores a serem pagos mensalmente, a administração pública pode estimar de forma mais precisa os custos envolvidos no serviço de locação de veículos, evitando surpresas desagradáveis e possibilitando um controle mais efetivo dos gastos públicos. Além disso, a possibilidade de extinguir o contrato, sem ônus, quando não dispuser de créditos orçamentários para sua </w:t>
      </w:r>
      <w:r>
        <w:rPr>
          <w:rFonts w:ascii="Arial" w:hAnsi="Arial" w:cs="Arial"/>
          <w:sz w:val="24"/>
          <w:szCs w:val="24"/>
        </w:rPr>
        <w:lastRenderedPageBreak/>
        <w:t>continuidade ou quando entender que o contrato não mais lhe oferece vantagem, confere à administração pública uma flexibilidade essencial para adaptar-se às necessidades do momento. Essa medida permite também a economia de escala e a padronização dos contratos de locação de veículos, facilitando a gestão e garantindo a eficiência na utilização dos recursos públicos. Outro ponto relevante é o aumento da eficiência no reaparelhamento e renovação da frota, proporcionado pela contratação de serviços de locação com possibilidade de prorrogação ou mediante a troca dos veículos em uso. Ainda, com o registro dos preços, é possível planejar e executar de forma mais eficaz a substituição dos veículos mais antigos por modelos mais modernos e eficientes, reduzindo custos com manutenção, tendo sempre disponibilidade, e aumentando a segurança e conforto dos usuários.</w:t>
      </w:r>
    </w:p>
    <w:p w14:paraId="13DDC181" w14:textId="5A41344E"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11.2.2.</w:t>
      </w:r>
      <w:r w:rsidR="006C1449">
        <w:rPr>
          <w:rFonts w:ascii="Arial" w:hAnsi="Arial" w:cs="Arial"/>
          <w:b/>
          <w:bCs/>
          <w:sz w:val="24"/>
          <w:szCs w:val="24"/>
        </w:rPr>
        <w:t xml:space="preserve"> </w:t>
      </w:r>
      <w:r>
        <w:rPr>
          <w:rFonts w:ascii="Arial" w:hAnsi="Arial" w:cs="Arial"/>
          <w:sz w:val="24"/>
          <w:szCs w:val="24"/>
        </w:rPr>
        <w:t>Por fim, a opção pela locação anual com pagamento mensal e contrato com possibilidade de prorrogação a longo prazo também contribui para uma maior eficiência na execução e fiscalização dos contratos, garantindo que os recursos públicos sejam utilizados de forma transparente e em conformidade com os interesses da sociedade.</w:t>
      </w:r>
    </w:p>
    <w:p w14:paraId="3D55209E"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11.2.3</w:t>
      </w:r>
      <w:r>
        <w:rPr>
          <w:rFonts w:ascii="Arial" w:hAnsi="Arial" w:cs="Arial"/>
          <w:sz w:val="24"/>
          <w:szCs w:val="24"/>
        </w:rPr>
        <w:t>. Ao optar pela solução de locação anual, a Administração, com enfoque na eficiência e na economicidade, garante a efetividade na execução e fiscalização dos contratos, garantindo que os recursos públicos possam ser utilizados de modo a resguardar os interesses públicos.</w:t>
      </w:r>
    </w:p>
    <w:p w14:paraId="05D1346E"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11.3</w:t>
      </w:r>
      <w:r>
        <w:rPr>
          <w:rFonts w:ascii="Arial" w:hAnsi="Arial" w:cs="Arial"/>
          <w:sz w:val="24"/>
          <w:szCs w:val="24"/>
        </w:rPr>
        <w:t>. O município dispensará a necessidade de incluir motoristas na contratação, uma vez que diversos servidores são habilitados para condução de veículos, já que, inclusive, a Carteira Nacional de Habilitação (CNH) entra como requisito para ocupar vários cargos. Dessa forma, a exigência de motoristas externos à locadora de veículos pode ser suprimida, facilitando o processo de contratação e reduzindo custos para administração pública.</w:t>
      </w:r>
    </w:p>
    <w:p w14:paraId="45D50A12" w14:textId="77777777" w:rsidR="001A6CDD" w:rsidRDefault="00A40F83">
      <w:pPr>
        <w:pStyle w:val="LO-Normal"/>
        <w:spacing w:line="360" w:lineRule="auto"/>
        <w:jc w:val="both"/>
        <w:rPr>
          <w:rFonts w:ascii="Arial" w:hAnsi="Arial"/>
          <w:sz w:val="24"/>
          <w:szCs w:val="24"/>
        </w:rPr>
      </w:pPr>
      <w:r w:rsidRPr="006C1449">
        <w:rPr>
          <w:rFonts w:ascii="Arial" w:hAnsi="Arial" w:cs="Arial"/>
          <w:b/>
          <w:bCs/>
          <w:sz w:val="24"/>
          <w:szCs w:val="24"/>
        </w:rPr>
        <w:t>11.4.</w:t>
      </w:r>
      <w:r>
        <w:rPr>
          <w:rFonts w:ascii="Arial" w:hAnsi="Arial" w:cs="Arial"/>
          <w:sz w:val="24"/>
          <w:szCs w:val="24"/>
        </w:rPr>
        <w:t xml:space="preserve"> Para essa contratação, a vigência da Ata de Registro de Preços resultante do certame será de 12 meses e poderá ser prorrogada, por igual período, desde que comprovado o preço vantajoso. Já os contratos gerados a partir desta Ata terão vigência de 12 meses prorrogáveis por até 120 meses nos termos da NLCC.</w:t>
      </w:r>
    </w:p>
    <w:p w14:paraId="18F03187" w14:textId="77777777" w:rsidR="001A6CDD" w:rsidRDefault="001A6CDD">
      <w:pPr>
        <w:pStyle w:val="LO-Normal"/>
        <w:spacing w:line="360" w:lineRule="auto"/>
        <w:jc w:val="both"/>
        <w:rPr>
          <w:rFonts w:ascii="Arial" w:hAnsi="Arial" w:cs="Arial"/>
          <w:color w:val="FF0000"/>
          <w:sz w:val="24"/>
          <w:szCs w:val="24"/>
        </w:rPr>
      </w:pPr>
    </w:p>
    <w:p w14:paraId="51A8CB7A" w14:textId="77777777" w:rsidR="001A6CDD" w:rsidRDefault="00A40F83">
      <w:pPr>
        <w:pStyle w:val="LO-Normal"/>
        <w:spacing w:line="360" w:lineRule="auto"/>
        <w:jc w:val="both"/>
        <w:rPr>
          <w:rFonts w:ascii="Arial" w:hAnsi="Arial"/>
          <w:sz w:val="24"/>
          <w:szCs w:val="24"/>
        </w:rPr>
      </w:pPr>
      <w:r>
        <w:rPr>
          <w:rFonts w:ascii="Arial" w:hAnsi="Arial" w:cs="Arial"/>
          <w:b/>
          <w:bCs/>
          <w:caps/>
          <w:color w:val="000000"/>
          <w:sz w:val="24"/>
          <w:szCs w:val="24"/>
        </w:rPr>
        <w:t>12. providências PRÉVIAS à celebração do contrato</w:t>
      </w:r>
    </w:p>
    <w:p w14:paraId="5392F371" w14:textId="77777777" w:rsidR="001A6CDD" w:rsidRDefault="00A40F83">
      <w:pPr>
        <w:pStyle w:val="LO-Normal"/>
        <w:spacing w:line="360" w:lineRule="auto"/>
        <w:jc w:val="both"/>
        <w:rPr>
          <w:rFonts w:ascii="Arial" w:hAnsi="Arial"/>
          <w:sz w:val="24"/>
          <w:szCs w:val="24"/>
        </w:rPr>
      </w:pPr>
      <w:r w:rsidRPr="006C1449">
        <w:rPr>
          <w:rFonts w:ascii="Arial" w:hAnsi="Arial" w:cs="Arial"/>
          <w:b/>
          <w:bCs/>
          <w:caps/>
          <w:color w:val="000000"/>
          <w:sz w:val="24"/>
          <w:szCs w:val="24"/>
        </w:rPr>
        <w:t>12.1</w:t>
      </w:r>
      <w:r>
        <w:rPr>
          <w:rFonts w:ascii="Arial" w:hAnsi="Arial" w:cs="Arial"/>
          <w:caps/>
          <w:color w:val="000000"/>
          <w:sz w:val="24"/>
          <w:szCs w:val="24"/>
        </w:rPr>
        <w:t xml:space="preserve"> </w:t>
      </w:r>
      <w:r>
        <w:rPr>
          <w:rFonts w:ascii="Arial" w:hAnsi="Arial" w:cs="Arial"/>
          <w:color w:val="000000"/>
          <w:sz w:val="24"/>
          <w:szCs w:val="24"/>
        </w:rPr>
        <w:t>Não foram observadas providências específicas a serem tomadas pelo Município em relação à contratação em si. O acompanhamento da execução contratual do objeto será mantido por servidores que já o realizam atualmente, não demandando treinamento para o exercício das atividades de fiscalização.</w:t>
      </w:r>
    </w:p>
    <w:p w14:paraId="47921403" w14:textId="77777777" w:rsidR="001A6CDD" w:rsidRDefault="001A6CDD">
      <w:pPr>
        <w:pStyle w:val="LO-Normal"/>
        <w:spacing w:line="360" w:lineRule="auto"/>
        <w:jc w:val="both"/>
        <w:rPr>
          <w:rFonts w:ascii="Arial" w:hAnsi="Arial" w:cs="Arial"/>
          <w:b/>
          <w:bCs/>
          <w:color w:val="000000"/>
          <w:sz w:val="24"/>
          <w:szCs w:val="24"/>
        </w:rPr>
      </w:pPr>
    </w:p>
    <w:p w14:paraId="4A168863"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 xml:space="preserve">13. </w:t>
      </w:r>
      <w:r>
        <w:rPr>
          <w:rFonts w:ascii="Arial" w:hAnsi="Arial" w:cs="Arial"/>
          <w:b/>
          <w:bCs/>
          <w:caps/>
          <w:color w:val="000000"/>
          <w:sz w:val="24"/>
          <w:szCs w:val="24"/>
        </w:rPr>
        <w:t>contratações correlatas e/ou interdependentes</w:t>
      </w:r>
    </w:p>
    <w:p w14:paraId="5D7B1AE0" w14:textId="77777777" w:rsidR="001A6CDD" w:rsidRDefault="00A40F83">
      <w:pPr>
        <w:pStyle w:val="LO-Normal"/>
        <w:spacing w:line="360" w:lineRule="auto"/>
        <w:jc w:val="both"/>
        <w:rPr>
          <w:rFonts w:ascii="Arial" w:hAnsi="Arial"/>
          <w:sz w:val="24"/>
          <w:szCs w:val="24"/>
        </w:rPr>
      </w:pPr>
      <w:r w:rsidRPr="006C1449">
        <w:rPr>
          <w:rFonts w:ascii="Arial" w:hAnsi="Arial" w:cs="Arial"/>
          <w:b/>
          <w:bCs/>
          <w:caps/>
          <w:color w:val="000000"/>
          <w:sz w:val="24"/>
          <w:szCs w:val="24"/>
        </w:rPr>
        <w:t>13.1</w:t>
      </w:r>
      <w:r>
        <w:rPr>
          <w:rFonts w:ascii="Arial" w:hAnsi="Arial" w:cs="Arial"/>
          <w:caps/>
          <w:color w:val="000000"/>
          <w:sz w:val="24"/>
          <w:szCs w:val="24"/>
        </w:rPr>
        <w:t xml:space="preserve"> </w:t>
      </w:r>
      <w:r>
        <w:rPr>
          <w:rFonts w:ascii="Arial" w:hAnsi="Arial" w:cs="Arial"/>
          <w:color w:val="000000"/>
          <w:sz w:val="24"/>
          <w:szCs w:val="24"/>
        </w:rPr>
        <w:t>Não haverá contrações correlatas e/ou interdependente com o objeto da contratação.</w:t>
      </w:r>
    </w:p>
    <w:p w14:paraId="56C2E634" w14:textId="77777777" w:rsidR="001A6CDD" w:rsidRDefault="001A6CDD">
      <w:pPr>
        <w:pStyle w:val="LO-Normal"/>
        <w:spacing w:line="360" w:lineRule="auto"/>
        <w:jc w:val="both"/>
        <w:rPr>
          <w:rFonts w:ascii="Arial" w:hAnsi="Arial" w:cs="Arial"/>
          <w:b/>
          <w:bCs/>
          <w:color w:val="FF0000"/>
          <w:sz w:val="24"/>
          <w:szCs w:val="24"/>
        </w:rPr>
      </w:pPr>
    </w:p>
    <w:p w14:paraId="0E064923"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14</w:t>
      </w:r>
      <w:r>
        <w:rPr>
          <w:rFonts w:ascii="Arial" w:hAnsi="Arial" w:cs="Arial"/>
          <w:b/>
          <w:bCs/>
          <w:caps/>
          <w:color w:val="000000"/>
          <w:sz w:val="24"/>
          <w:szCs w:val="24"/>
        </w:rPr>
        <w:t>. impactos ambientais</w:t>
      </w:r>
    </w:p>
    <w:p w14:paraId="22307AF0" w14:textId="77777777" w:rsidR="001A6CDD" w:rsidRDefault="00A40F83">
      <w:pPr>
        <w:pStyle w:val="LO-Normal"/>
        <w:spacing w:line="360" w:lineRule="auto"/>
        <w:jc w:val="both"/>
        <w:rPr>
          <w:rFonts w:ascii="Arial" w:hAnsi="Arial"/>
          <w:sz w:val="24"/>
          <w:szCs w:val="24"/>
        </w:rPr>
      </w:pPr>
      <w:r w:rsidRPr="006C1449">
        <w:rPr>
          <w:rFonts w:ascii="Arial" w:hAnsi="Arial" w:cs="Arial"/>
          <w:b/>
          <w:bCs/>
          <w:color w:val="000000"/>
          <w:sz w:val="24"/>
          <w:szCs w:val="24"/>
          <w:lang w:eastAsia="pt-BR"/>
        </w:rPr>
        <w:t>14.1</w:t>
      </w:r>
      <w:r>
        <w:rPr>
          <w:rFonts w:ascii="Arial" w:hAnsi="Arial" w:cs="Arial"/>
          <w:b/>
          <w:bCs/>
          <w:color w:val="000000"/>
          <w:sz w:val="24"/>
          <w:szCs w:val="24"/>
          <w:lang w:eastAsia="pt-BR"/>
        </w:rPr>
        <w:t xml:space="preserve"> </w:t>
      </w:r>
      <w:r>
        <w:rPr>
          <w:rFonts w:ascii="Arial" w:hAnsi="Arial" w:cs="Arial"/>
          <w:color w:val="000000"/>
          <w:sz w:val="24"/>
          <w:szCs w:val="24"/>
          <w:lang w:eastAsia="pt-BR"/>
        </w:rPr>
        <w:t>As empresas contratadas adotarão as seguintes práticas de sustentabilidade, quando couber:</w:t>
      </w:r>
    </w:p>
    <w:p w14:paraId="38E91E02"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lang w:eastAsia="pt-BR"/>
        </w:rPr>
        <w:t>a)</w:t>
      </w:r>
      <w:r>
        <w:rPr>
          <w:rFonts w:ascii="Arial" w:hAnsi="Arial" w:cs="Arial"/>
          <w:color w:val="000000"/>
          <w:sz w:val="24"/>
          <w:szCs w:val="24"/>
          <w:lang w:eastAsia="pt-BR"/>
        </w:rPr>
        <w:t xml:space="preserve"> Que os bens sejam constituídos, no todo ou em parte, por material reciclado, atóxico, biodegradável, conforme normas específicas da </w:t>
      </w:r>
      <w:r>
        <w:rPr>
          <w:rFonts w:ascii="Arial" w:hAnsi="Arial" w:cs="Arial"/>
          <w:b/>
          <w:bCs/>
          <w:color w:val="000000"/>
          <w:sz w:val="24"/>
          <w:szCs w:val="24"/>
          <w:lang w:eastAsia="pt-BR"/>
        </w:rPr>
        <w:t>ABNT</w:t>
      </w:r>
      <w:r>
        <w:rPr>
          <w:rFonts w:ascii="Arial" w:hAnsi="Arial" w:cs="Arial"/>
          <w:color w:val="000000"/>
          <w:sz w:val="24"/>
          <w:szCs w:val="24"/>
          <w:lang w:eastAsia="pt-BR"/>
        </w:rPr>
        <w:t>;</w:t>
      </w:r>
    </w:p>
    <w:p w14:paraId="6230FDE1"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lang w:eastAsia="pt-BR"/>
        </w:rPr>
        <w:t xml:space="preserve">b) </w:t>
      </w:r>
      <w:r>
        <w:rPr>
          <w:rFonts w:ascii="Arial" w:hAnsi="Arial" w:cs="Arial"/>
          <w:color w:val="000000"/>
          <w:sz w:val="24"/>
          <w:szCs w:val="24"/>
          <w:lang w:eastAsia="pt-BR"/>
        </w:rPr>
        <w:t xml:space="preserve">Que sejam observados os requisitos ambientais para a obtenção de certificação do Instituto Nacional de Metrologia, Normalização e Qualidade Industrial – </w:t>
      </w:r>
      <w:r>
        <w:rPr>
          <w:rFonts w:ascii="Arial" w:hAnsi="Arial" w:cs="Arial"/>
          <w:b/>
          <w:bCs/>
          <w:color w:val="000000"/>
          <w:sz w:val="24"/>
          <w:szCs w:val="24"/>
          <w:lang w:eastAsia="pt-BR"/>
        </w:rPr>
        <w:t>INMETRO</w:t>
      </w:r>
      <w:r>
        <w:rPr>
          <w:rFonts w:ascii="Arial" w:hAnsi="Arial" w:cs="Arial"/>
          <w:color w:val="000000"/>
          <w:sz w:val="24"/>
          <w:szCs w:val="24"/>
          <w:lang w:eastAsia="pt-BR"/>
        </w:rPr>
        <w:t>, como produtos sustentáveis ou de menor impacto ambiental em relação aos seus similares;</w:t>
      </w:r>
    </w:p>
    <w:p w14:paraId="0C8881B3"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lang w:eastAsia="pt-BR"/>
        </w:rPr>
        <w:t>c)</w:t>
      </w:r>
      <w:r>
        <w:rPr>
          <w:rFonts w:ascii="Arial" w:hAnsi="Arial" w:cs="Arial"/>
          <w:color w:val="000000"/>
          <w:sz w:val="24"/>
          <w:szCs w:val="24"/>
          <w:lang w:eastAsia="pt-BR"/>
        </w:rPr>
        <w:t xml:space="preserve"> Que os bens não contenham substâncias perigosas em concentração acima da recomendada na diretiva RoHS (Restriction of Certain Hazardous Substances), tais como mercúrio (Hg), chumbo (Pb), cromo hexavalente (Cr(VI)), cádmio (Cd), bifenil-polibromados (PBBs), éteres difenil- polibromados (PBDEs).</w:t>
      </w:r>
    </w:p>
    <w:p w14:paraId="6BE46526" w14:textId="77777777" w:rsidR="001A6CDD" w:rsidRDefault="001A6CDD">
      <w:pPr>
        <w:pStyle w:val="LO-Normal"/>
        <w:spacing w:line="360" w:lineRule="auto"/>
        <w:jc w:val="both"/>
        <w:rPr>
          <w:rFonts w:ascii="Arial" w:hAnsi="Arial" w:cs="Arial"/>
          <w:color w:val="FF0000"/>
          <w:sz w:val="24"/>
          <w:szCs w:val="24"/>
        </w:rPr>
      </w:pPr>
    </w:p>
    <w:p w14:paraId="34095AB1" w14:textId="77777777" w:rsidR="001A6CDD" w:rsidRDefault="00A40F83">
      <w:pPr>
        <w:pStyle w:val="LO-Normal"/>
        <w:spacing w:line="360" w:lineRule="auto"/>
        <w:jc w:val="both"/>
        <w:rPr>
          <w:rFonts w:ascii="Arial" w:hAnsi="Arial"/>
          <w:sz w:val="24"/>
          <w:szCs w:val="24"/>
        </w:rPr>
      </w:pPr>
      <w:r>
        <w:rPr>
          <w:rFonts w:ascii="Arial" w:hAnsi="Arial" w:cs="Arial"/>
          <w:b/>
          <w:bCs/>
          <w:color w:val="000000"/>
          <w:sz w:val="24"/>
          <w:szCs w:val="24"/>
        </w:rPr>
        <w:t>15. VIABILIDADE DA CONTRATAÇÃO</w:t>
      </w:r>
    </w:p>
    <w:p w14:paraId="65E903C0" w14:textId="77777777" w:rsidR="001A6CDD" w:rsidRDefault="00A40F83">
      <w:pPr>
        <w:spacing w:line="360" w:lineRule="auto"/>
        <w:jc w:val="both"/>
        <w:rPr>
          <w:rFonts w:ascii="Arial" w:hAnsi="Arial" w:cs="Arial"/>
          <w:color w:val="000000"/>
          <w:sz w:val="24"/>
          <w:szCs w:val="24"/>
        </w:rPr>
      </w:pPr>
      <w:r w:rsidRPr="006C1449">
        <w:rPr>
          <w:rFonts w:ascii="Arial" w:hAnsi="Arial" w:cs="Arial"/>
          <w:b/>
          <w:bCs/>
          <w:color w:val="000000"/>
          <w:sz w:val="24"/>
          <w:szCs w:val="24"/>
        </w:rPr>
        <w:t>15.1</w:t>
      </w:r>
      <w:r>
        <w:rPr>
          <w:rFonts w:ascii="Arial" w:hAnsi="Arial" w:cs="Arial"/>
          <w:color w:val="000000"/>
          <w:sz w:val="24"/>
          <w:szCs w:val="24"/>
        </w:rPr>
        <w:t xml:space="preserve"> Consideradas as informações incluídas neste ETP, declaramos que esta contratação pretendida é viável na forma apresentada, conforme exposto nos itens anteriores, tendo em vista a metodologia atender as necessidades da Administração Pública, ser tecnicamente e economicamente vantajoso para Administração.</w:t>
      </w:r>
    </w:p>
    <w:p w14:paraId="58B07E3F" w14:textId="77777777" w:rsidR="00A40F83" w:rsidRDefault="00A40F83">
      <w:pPr>
        <w:spacing w:line="360" w:lineRule="auto"/>
        <w:jc w:val="both"/>
        <w:rPr>
          <w:rFonts w:ascii="Arial" w:hAnsi="Arial" w:cs="Arial"/>
          <w:color w:val="000000"/>
          <w:sz w:val="24"/>
          <w:szCs w:val="24"/>
        </w:rPr>
      </w:pPr>
    </w:p>
    <w:p w14:paraId="659B235D" w14:textId="77777777" w:rsidR="0001182C" w:rsidRDefault="0001182C">
      <w:pPr>
        <w:spacing w:line="360" w:lineRule="auto"/>
        <w:jc w:val="both"/>
        <w:rPr>
          <w:rFonts w:ascii="Arial" w:hAnsi="Arial" w:cs="Arial"/>
          <w:color w:val="000000"/>
          <w:sz w:val="24"/>
          <w:szCs w:val="24"/>
        </w:rPr>
      </w:pPr>
    </w:p>
    <w:p w14:paraId="7A6BD4DA" w14:textId="77777777" w:rsidR="0086542C" w:rsidRDefault="0086542C" w:rsidP="0086542C">
      <w:pPr>
        <w:spacing w:line="360" w:lineRule="auto"/>
        <w:jc w:val="center"/>
        <w:rPr>
          <w:rFonts w:ascii="Arial" w:hAnsi="Arial"/>
          <w:b/>
          <w:bCs/>
          <w:sz w:val="21"/>
          <w:szCs w:val="21"/>
        </w:rPr>
      </w:pPr>
      <w:r>
        <w:rPr>
          <w:rFonts w:ascii="Arial" w:hAnsi="Arial"/>
          <w:b/>
          <w:bCs/>
          <w:sz w:val="21"/>
          <w:szCs w:val="21"/>
        </w:rPr>
        <w:t>Gabriel Pereira das Neves</w:t>
      </w:r>
    </w:p>
    <w:p w14:paraId="15D1B3D2" w14:textId="77777777" w:rsidR="0086542C" w:rsidRDefault="0086542C" w:rsidP="0086542C">
      <w:pPr>
        <w:spacing w:line="360" w:lineRule="auto"/>
        <w:jc w:val="center"/>
        <w:rPr>
          <w:rFonts w:ascii="Arial" w:hAnsi="Arial"/>
          <w:b/>
          <w:bCs/>
          <w:sz w:val="21"/>
          <w:szCs w:val="21"/>
        </w:rPr>
      </w:pPr>
      <w:r>
        <w:rPr>
          <w:rFonts w:ascii="Arial" w:hAnsi="Arial"/>
          <w:b/>
          <w:bCs/>
          <w:sz w:val="21"/>
          <w:szCs w:val="21"/>
        </w:rPr>
        <w:t>Matricula 10.307</w:t>
      </w:r>
    </w:p>
    <w:p w14:paraId="28EC463F" w14:textId="77777777" w:rsidR="0086542C" w:rsidRDefault="0086542C" w:rsidP="0086542C">
      <w:pPr>
        <w:spacing w:line="360" w:lineRule="auto"/>
        <w:jc w:val="center"/>
        <w:rPr>
          <w:rFonts w:ascii="Arial" w:hAnsi="Arial"/>
          <w:b/>
          <w:bCs/>
          <w:sz w:val="21"/>
          <w:szCs w:val="21"/>
        </w:rPr>
      </w:pPr>
      <w:r w:rsidRPr="00174D11">
        <w:rPr>
          <w:rFonts w:ascii="Arial" w:hAnsi="Arial"/>
          <w:b/>
          <w:bCs/>
          <w:sz w:val="21"/>
          <w:szCs w:val="21"/>
        </w:rPr>
        <w:t xml:space="preserve"> </w:t>
      </w:r>
      <w:r>
        <w:rPr>
          <w:rFonts w:ascii="Arial" w:hAnsi="Arial"/>
          <w:b/>
          <w:bCs/>
          <w:sz w:val="21"/>
          <w:szCs w:val="21"/>
        </w:rPr>
        <w:t>Agente de contratação</w:t>
      </w:r>
    </w:p>
    <w:p w14:paraId="3741D995" w14:textId="77777777" w:rsidR="001A6CDD" w:rsidRDefault="001A6CDD">
      <w:pPr>
        <w:spacing w:line="360" w:lineRule="auto"/>
        <w:jc w:val="both"/>
        <w:rPr>
          <w:rFonts w:ascii="Arial" w:hAnsi="Arial"/>
          <w:color w:val="FF0000"/>
          <w:sz w:val="24"/>
          <w:szCs w:val="24"/>
        </w:rPr>
      </w:pPr>
    </w:p>
    <w:p w14:paraId="4B76F01B" w14:textId="038C238C" w:rsidR="001A6CDD" w:rsidRDefault="00A40F83">
      <w:pPr>
        <w:spacing w:before="120" w:after="120" w:line="360" w:lineRule="auto"/>
        <w:ind w:left="-851"/>
        <w:contextualSpacing/>
        <w:jc w:val="right"/>
        <w:rPr>
          <w:rFonts w:ascii="Arial" w:eastAsia="Calibri" w:hAnsi="Arial" w:cs="Arial"/>
          <w:b/>
          <w:bCs/>
          <w:color w:val="000000"/>
          <w:kern w:val="2"/>
          <w:sz w:val="24"/>
          <w:szCs w:val="24"/>
          <w:lang w:eastAsia="zh-CN"/>
        </w:rPr>
      </w:pPr>
      <w:r>
        <w:rPr>
          <w:rFonts w:ascii="Arial" w:eastAsia="Calibri" w:hAnsi="Arial" w:cs="Arial"/>
          <w:b/>
          <w:bCs/>
          <w:color w:val="000000"/>
          <w:kern w:val="2"/>
          <w:sz w:val="24"/>
          <w:szCs w:val="24"/>
          <w:lang w:eastAsia="zh-CN"/>
        </w:rPr>
        <w:t xml:space="preserve">Paranaguá, 20 de </w:t>
      </w:r>
      <w:r w:rsidR="006C1449">
        <w:rPr>
          <w:rFonts w:ascii="Arial" w:eastAsia="Calibri" w:hAnsi="Arial" w:cs="Arial"/>
          <w:b/>
          <w:bCs/>
          <w:color w:val="000000"/>
          <w:kern w:val="2"/>
          <w:sz w:val="24"/>
          <w:szCs w:val="24"/>
          <w:lang w:eastAsia="zh-CN"/>
        </w:rPr>
        <w:t>m</w:t>
      </w:r>
      <w:r>
        <w:rPr>
          <w:rFonts w:ascii="Arial" w:eastAsia="Calibri" w:hAnsi="Arial" w:cs="Arial"/>
          <w:b/>
          <w:bCs/>
          <w:color w:val="000000"/>
          <w:kern w:val="2"/>
          <w:sz w:val="24"/>
          <w:szCs w:val="24"/>
          <w:lang w:eastAsia="zh-CN"/>
        </w:rPr>
        <w:t>ar</w:t>
      </w:r>
      <w:r w:rsidR="006C1449">
        <w:rPr>
          <w:rFonts w:ascii="Arial" w:eastAsia="Calibri" w:hAnsi="Arial" w:cs="Arial"/>
          <w:b/>
          <w:bCs/>
          <w:color w:val="000000"/>
          <w:kern w:val="2"/>
          <w:sz w:val="24"/>
          <w:szCs w:val="24"/>
          <w:lang w:eastAsia="zh-CN"/>
        </w:rPr>
        <w:t>ç</w:t>
      </w:r>
      <w:r>
        <w:rPr>
          <w:rFonts w:ascii="Arial" w:eastAsia="Calibri" w:hAnsi="Arial" w:cs="Arial"/>
          <w:b/>
          <w:bCs/>
          <w:color w:val="000000"/>
          <w:kern w:val="2"/>
          <w:sz w:val="24"/>
          <w:szCs w:val="24"/>
          <w:lang w:eastAsia="zh-CN"/>
        </w:rPr>
        <w:t>o de 2026</w:t>
      </w:r>
      <w:r w:rsidR="001669F1">
        <w:rPr>
          <w:rFonts w:ascii="Arial" w:eastAsia="Calibri" w:hAnsi="Arial" w:cs="Arial"/>
          <w:b/>
          <w:bCs/>
          <w:color w:val="000000"/>
          <w:kern w:val="2"/>
          <w:sz w:val="24"/>
          <w:szCs w:val="24"/>
          <w:lang w:eastAsia="zh-CN"/>
        </w:rPr>
        <w:t>.</w:t>
      </w:r>
    </w:p>
    <w:p w14:paraId="2CE61520" w14:textId="77777777" w:rsidR="001A6CDD" w:rsidRDefault="001A6CDD">
      <w:pPr>
        <w:spacing w:before="120" w:after="120" w:line="360" w:lineRule="auto"/>
        <w:ind w:left="-851"/>
        <w:contextualSpacing/>
        <w:jc w:val="right"/>
      </w:pPr>
    </w:p>
    <w:sectPr w:rsidR="001A6CDD">
      <w:headerReference w:type="default" r:id="rId7"/>
      <w:footerReference w:type="default" r:id="rId8"/>
      <w:pgSz w:w="11906" w:h="16838"/>
      <w:pgMar w:top="2317" w:right="991" w:bottom="709" w:left="1134" w:header="567" w:footer="34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ED2C3" w14:textId="77777777" w:rsidR="00A40F83" w:rsidRDefault="00A40F83">
      <w:pPr>
        <w:spacing w:after="0" w:line="240" w:lineRule="auto"/>
      </w:pPr>
      <w:r>
        <w:separator/>
      </w:r>
    </w:p>
  </w:endnote>
  <w:endnote w:type="continuationSeparator" w:id="0">
    <w:p w14:paraId="77FD943E" w14:textId="77777777" w:rsidR="00A40F83" w:rsidRDefault="00A40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C10C" w14:textId="77777777" w:rsidR="001A6CDD" w:rsidRDefault="001A6CDD">
    <w:pPr>
      <w:pStyle w:val="Rodap"/>
      <w:tabs>
        <w:tab w:val="clear" w:pos="4252"/>
        <w:tab w:val="clear" w:pos="8504"/>
        <w:tab w:val="left" w:pos="3045"/>
      </w:tabs>
      <w:jc w:val="center"/>
      <w:rPr>
        <w:b/>
      </w:rPr>
    </w:pPr>
  </w:p>
  <w:p w14:paraId="0024CA05" w14:textId="77777777" w:rsidR="001A6CDD" w:rsidRDefault="001A6CDD">
    <w:pPr>
      <w:pStyle w:val="Rodap"/>
      <w:tabs>
        <w:tab w:val="clear" w:pos="4252"/>
        <w:tab w:val="clear" w:pos="8504"/>
        <w:tab w:val="left" w:pos="3045"/>
      </w:tabs>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434F9" w14:textId="77777777" w:rsidR="00A40F83" w:rsidRDefault="00A40F83">
      <w:pPr>
        <w:spacing w:after="0" w:line="240" w:lineRule="auto"/>
      </w:pPr>
      <w:r>
        <w:separator/>
      </w:r>
    </w:p>
  </w:footnote>
  <w:footnote w:type="continuationSeparator" w:id="0">
    <w:p w14:paraId="443BE1A3" w14:textId="77777777" w:rsidR="00A40F83" w:rsidRDefault="00A40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D5CE" w14:textId="77777777" w:rsidR="001A6CDD" w:rsidRDefault="00A40F83">
    <w:pPr>
      <w:pStyle w:val="Cabealho"/>
      <w:jc w:val="center"/>
      <w:rPr>
        <w:sz w:val="21"/>
        <w:szCs w:val="21"/>
      </w:rPr>
    </w:pPr>
    <w:r>
      <w:rPr>
        <w:noProof/>
        <w:sz w:val="21"/>
        <w:szCs w:val="21"/>
      </w:rPr>
      <w:drawing>
        <wp:anchor distT="0" distB="0" distL="0" distR="0" simplePos="0" relativeHeight="9" behindDoc="1" locked="0" layoutInCell="1" allowOverlap="1" wp14:anchorId="028E7470" wp14:editId="2E15A629">
          <wp:simplePos x="0" y="0"/>
          <wp:positionH relativeFrom="column">
            <wp:posOffset>-332105</wp:posOffset>
          </wp:positionH>
          <wp:positionV relativeFrom="paragraph">
            <wp:posOffset>-26670</wp:posOffset>
          </wp:positionV>
          <wp:extent cx="657225" cy="809625"/>
          <wp:effectExtent l="0" t="0" r="0" b="0"/>
          <wp:wrapNone/>
          <wp:docPr id="1" name="Imagem 0" descr="Brasao_paranagua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Brasao_paranagua (1).png"/>
                  <pic:cNvPicPr>
                    <a:picLocks noChangeAspect="1" noChangeArrowheads="1"/>
                  </pic:cNvPicPr>
                </pic:nvPicPr>
                <pic:blipFill>
                  <a:blip r:embed="rId1"/>
                  <a:stretch>
                    <a:fillRect/>
                  </a:stretch>
                </pic:blipFill>
                <pic:spPr bwMode="auto">
                  <a:xfrm>
                    <a:off x="0" y="0"/>
                    <a:ext cx="657225" cy="809625"/>
                  </a:xfrm>
                  <a:prstGeom prst="rect">
                    <a:avLst/>
                  </a:prstGeom>
                </pic:spPr>
              </pic:pic>
            </a:graphicData>
          </a:graphic>
        </wp:anchor>
      </w:drawing>
    </w:r>
  </w:p>
  <w:p w14:paraId="230EFB08" w14:textId="77777777" w:rsidR="001A6CDD" w:rsidRDefault="00A40F83">
    <w:pPr>
      <w:pStyle w:val="Cabealho"/>
      <w:jc w:val="center"/>
    </w:pPr>
    <w:r>
      <w:rPr>
        <w:rFonts w:ascii="Bookman Old Style" w:hAnsi="Bookman Old Style" w:cs="Bookman Old Style"/>
        <w:b/>
        <w:sz w:val="31"/>
        <w:szCs w:val="31"/>
        <w:u w:val="single"/>
      </w:rPr>
      <w:t>PREFEITURA MUNICIPAL DE PARANAGUÁ</w:t>
    </w:r>
  </w:p>
  <w:p w14:paraId="10C1286B" w14:textId="77777777" w:rsidR="001A6CDD" w:rsidRDefault="001A6CDD">
    <w:pPr>
      <w:pStyle w:val="Cabealho"/>
      <w:jc w:val="center"/>
      <w:rPr>
        <w:b/>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CDD"/>
    <w:rsid w:val="0001182C"/>
    <w:rsid w:val="000845F2"/>
    <w:rsid w:val="001578D5"/>
    <w:rsid w:val="001669F1"/>
    <w:rsid w:val="001A6CDD"/>
    <w:rsid w:val="005F1542"/>
    <w:rsid w:val="006C1449"/>
    <w:rsid w:val="0086542C"/>
    <w:rsid w:val="00932A52"/>
    <w:rsid w:val="009C65AC"/>
    <w:rsid w:val="00A40F83"/>
    <w:rsid w:val="00CC5618"/>
    <w:rsid w:val="00D069C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57E1B"/>
  <w15:docId w15:val="{5DF4B755-1EFF-4217-A97D-DDB50E811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pt-BR"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6B"/>
    <w:pPr>
      <w:spacing w:after="160" w:line="259" w:lineRule="auto"/>
    </w:pPr>
    <w:rPr>
      <w:rFonts w:ascii="Calibri" w:hAnsi="Calibri"/>
      <w:color w:val="00000A"/>
      <w:sz w:val="22"/>
    </w:rPr>
  </w:style>
  <w:style w:type="paragraph" w:styleId="Ttulo3">
    <w:name w:val="heading 3"/>
    <w:basedOn w:val="Normal"/>
    <w:link w:val="Ttulo3Char"/>
    <w:uiPriority w:val="9"/>
    <w:qFormat/>
    <w:rsid w:val="00C43639"/>
    <w:pPr>
      <w:spacing w:beforeAutospacing="1" w:afterAutospacing="1" w:line="240" w:lineRule="auto"/>
      <w:outlineLvl w:val="2"/>
    </w:pPr>
    <w:rPr>
      <w:rFonts w:ascii="Times New Roman" w:eastAsia="Times New Roman" w:hAnsi="Times New Roman" w:cs="Times New Roman"/>
      <w:b/>
      <w:bCs/>
      <w:color w:val="auto"/>
      <w:sz w:val="27"/>
      <w:szCs w:val="27"/>
      <w:lang w:eastAsia="pt-BR"/>
    </w:rPr>
  </w:style>
  <w:style w:type="paragraph" w:styleId="Ttulo4">
    <w:name w:val="heading 4"/>
    <w:basedOn w:val="Normal"/>
    <w:next w:val="Normal"/>
    <w:link w:val="Ttulo4Char"/>
    <w:uiPriority w:val="9"/>
    <w:semiHidden/>
    <w:unhideWhenUsed/>
    <w:qFormat/>
    <w:rsid w:val="00463FED"/>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uiPriority w:val="1"/>
    <w:qFormat/>
    <w:rsid w:val="00463FED"/>
    <w:pPr>
      <w:widowControl w:val="0"/>
      <w:spacing w:before="98" w:after="0" w:line="240" w:lineRule="auto"/>
      <w:ind w:left="2826" w:right="2826"/>
      <w:jc w:val="center"/>
      <w:outlineLvl w:val="1"/>
    </w:pPr>
    <w:rPr>
      <w:rFonts w:ascii="Arial" w:eastAsia="Arial" w:hAnsi="Arial" w:cs="Arial"/>
      <w:b/>
      <w:bCs/>
      <w:color w:val="auto"/>
      <w:lang w:val="pt-PT" w:eastAsia="en-US"/>
    </w:rPr>
  </w:style>
  <w:style w:type="character" w:customStyle="1" w:styleId="CabealhoChar">
    <w:name w:val="Cabeçalho Char"/>
    <w:basedOn w:val="Fontepargpadro"/>
    <w:uiPriority w:val="99"/>
    <w:qFormat/>
    <w:rsid w:val="005E1DFC"/>
  </w:style>
  <w:style w:type="character" w:customStyle="1" w:styleId="RodapChar">
    <w:name w:val="Rodapé Char"/>
    <w:basedOn w:val="Fontepargpadro"/>
    <w:uiPriority w:val="99"/>
    <w:qFormat/>
    <w:rsid w:val="005E1DFC"/>
  </w:style>
  <w:style w:type="character" w:customStyle="1" w:styleId="TextodebaloChar">
    <w:name w:val="Texto de balão Char"/>
    <w:basedOn w:val="Fontepargpadro"/>
    <w:link w:val="Textodebalo"/>
    <w:uiPriority w:val="99"/>
    <w:semiHidden/>
    <w:qFormat/>
    <w:rsid w:val="00516F02"/>
    <w:rPr>
      <w:rFonts w:ascii="Segoe UI" w:hAnsi="Segoe UI" w:cs="Segoe UI"/>
      <w:sz w:val="18"/>
      <w:szCs w:val="18"/>
    </w:rPr>
  </w:style>
  <w:style w:type="character" w:customStyle="1" w:styleId="Marcas">
    <w:name w:val="Marcas"/>
    <w:qFormat/>
    <w:rsid w:val="00E221D7"/>
    <w:rPr>
      <w:rFonts w:ascii="OpenSymbol" w:eastAsia="OpenSymbol" w:hAnsi="OpenSymbol" w:cs="OpenSymbol"/>
      <w:sz w:val="26"/>
      <w:szCs w:val="26"/>
    </w:rPr>
  </w:style>
  <w:style w:type="character" w:customStyle="1" w:styleId="Ttulo3Char">
    <w:name w:val="Título 3 Char"/>
    <w:basedOn w:val="Fontepargpadro"/>
    <w:link w:val="Ttulo3"/>
    <w:uiPriority w:val="9"/>
    <w:qFormat/>
    <w:rsid w:val="00C43639"/>
    <w:rPr>
      <w:rFonts w:ascii="Times New Roman" w:eastAsia="Times New Roman" w:hAnsi="Times New Roman" w:cs="Times New Roman"/>
      <w:b/>
      <w:bCs/>
      <w:sz w:val="27"/>
      <w:szCs w:val="27"/>
      <w:lang w:eastAsia="pt-BR"/>
    </w:rPr>
  </w:style>
  <w:style w:type="character" w:customStyle="1" w:styleId="EndereoHTMLChar">
    <w:name w:val="Endereço HTML Char"/>
    <w:basedOn w:val="Fontepargpadro"/>
    <w:link w:val="EndereoHTML"/>
    <w:uiPriority w:val="99"/>
    <w:semiHidden/>
    <w:qFormat/>
    <w:rsid w:val="00C43639"/>
    <w:rPr>
      <w:rFonts w:ascii="Times New Roman" w:eastAsia="Times New Roman" w:hAnsi="Times New Roman" w:cs="Times New Roman"/>
      <w:i/>
      <w:iCs/>
      <w:sz w:val="24"/>
      <w:szCs w:val="24"/>
      <w:lang w:eastAsia="pt-BR"/>
    </w:rPr>
  </w:style>
  <w:style w:type="character" w:styleId="Forte">
    <w:name w:val="Strong"/>
    <w:basedOn w:val="Fontepargpadro"/>
    <w:qFormat/>
    <w:rsid w:val="00D113B9"/>
    <w:rPr>
      <w:b/>
      <w:bCs/>
    </w:rPr>
  </w:style>
  <w:style w:type="character" w:customStyle="1" w:styleId="street-address">
    <w:name w:val="street-address"/>
    <w:basedOn w:val="Fontepargpadro"/>
    <w:qFormat/>
    <w:rsid w:val="0037181B"/>
  </w:style>
  <w:style w:type="character" w:customStyle="1" w:styleId="postal-code">
    <w:name w:val="postal-code"/>
    <w:basedOn w:val="Fontepargpadro"/>
    <w:qFormat/>
    <w:rsid w:val="0037181B"/>
  </w:style>
  <w:style w:type="character" w:customStyle="1" w:styleId="locality">
    <w:name w:val="locality"/>
    <w:basedOn w:val="Fontepargpadro"/>
    <w:qFormat/>
    <w:rsid w:val="0037181B"/>
  </w:style>
  <w:style w:type="character" w:customStyle="1" w:styleId="TextodenotaderodapChar">
    <w:name w:val="Texto de nota de rodapé Char"/>
    <w:basedOn w:val="Fontepargpadro"/>
    <w:link w:val="Textodenotaderodap"/>
    <w:uiPriority w:val="99"/>
    <w:semiHidden/>
    <w:qFormat/>
    <w:rsid w:val="00956406"/>
    <w:rPr>
      <w:rFonts w:ascii="Calibri" w:eastAsia="Calibri" w:hAnsi="Calibri" w:cs="Times New Roman"/>
      <w:szCs w:val="20"/>
      <w:lang w:eastAsia="en-US"/>
    </w:rPr>
  </w:style>
  <w:style w:type="character" w:customStyle="1" w:styleId="ncoradanotaderodap">
    <w:name w:val="Âncora da nota de rodapé"/>
    <w:rPr>
      <w:vertAlign w:val="superscript"/>
    </w:rPr>
  </w:style>
  <w:style w:type="character" w:customStyle="1" w:styleId="FootnoteCharacters">
    <w:name w:val="Footnote Characters"/>
    <w:uiPriority w:val="99"/>
    <w:semiHidden/>
    <w:unhideWhenUsed/>
    <w:qFormat/>
    <w:rsid w:val="00956406"/>
    <w:rPr>
      <w:vertAlign w:val="superscript"/>
    </w:rPr>
  </w:style>
  <w:style w:type="character" w:customStyle="1" w:styleId="CabealhoChar1">
    <w:name w:val="Cabeçalho Char1"/>
    <w:basedOn w:val="Fontepargpadro"/>
    <w:link w:val="Cabealho"/>
    <w:semiHidden/>
    <w:qFormat/>
    <w:rsid w:val="00344B92"/>
    <w:rPr>
      <w:color w:val="00000A"/>
      <w:sz w:val="22"/>
    </w:rPr>
  </w:style>
  <w:style w:type="character" w:customStyle="1" w:styleId="RodapChar1">
    <w:name w:val="Rodapé Char1"/>
    <w:basedOn w:val="Fontepargpadro"/>
    <w:link w:val="Rodap"/>
    <w:semiHidden/>
    <w:qFormat/>
    <w:rsid w:val="00344B92"/>
    <w:rPr>
      <w:color w:val="00000A"/>
      <w:sz w:val="22"/>
    </w:rPr>
  </w:style>
  <w:style w:type="character" w:customStyle="1" w:styleId="LinkdaInternet">
    <w:name w:val="Link da Internet"/>
    <w:basedOn w:val="Fontepargpadro"/>
    <w:uiPriority w:val="99"/>
    <w:semiHidden/>
    <w:unhideWhenUsed/>
    <w:rsid w:val="00AE7859"/>
    <w:rPr>
      <w:color w:val="0000FF"/>
      <w:u w:val="single"/>
    </w:rPr>
  </w:style>
  <w:style w:type="character" w:styleId="nfase">
    <w:name w:val="Emphasis"/>
    <w:basedOn w:val="Fontepargpadro"/>
    <w:uiPriority w:val="20"/>
    <w:qFormat/>
    <w:rsid w:val="00AE7859"/>
    <w:rPr>
      <w:i/>
      <w:iCs/>
    </w:rPr>
  </w:style>
  <w:style w:type="character" w:customStyle="1" w:styleId="apple-tab-span">
    <w:name w:val="apple-tab-span"/>
    <w:basedOn w:val="Fontepargpadro"/>
    <w:qFormat/>
    <w:rsid w:val="004B3AB0"/>
  </w:style>
  <w:style w:type="character" w:customStyle="1" w:styleId="Ttulo4Char">
    <w:name w:val="Título 4 Char"/>
    <w:basedOn w:val="Fontepargpadro"/>
    <w:link w:val="Ttulo4"/>
    <w:uiPriority w:val="9"/>
    <w:semiHidden/>
    <w:qFormat/>
    <w:rsid w:val="00463FED"/>
    <w:rPr>
      <w:rFonts w:asciiTheme="majorHAnsi" w:eastAsiaTheme="majorEastAsia" w:hAnsiTheme="majorHAnsi" w:cstheme="majorBidi"/>
      <w:b/>
      <w:bCs/>
      <w:i/>
      <w:iCs/>
      <w:color w:val="4472C4" w:themeColor="accent1"/>
      <w:sz w:val="22"/>
    </w:rPr>
  </w:style>
  <w:style w:type="character" w:customStyle="1" w:styleId="nfaseforte">
    <w:name w:val="Ênfase forte"/>
    <w:qFormat/>
    <w:rPr>
      <w:b/>
      <w:bCs/>
    </w:rPr>
  </w:style>
  <w:style w:type="paragraph" w:styleId="Ttulo">
    <w:name w:val="Title"/>
    <w:basedOn w:val="Normal"/>
    <w:next w:val="Corpodetexto"/>
    <w:qFormat/>
    <w:rsid w:val="00E221D7"/>
    <w:pPr>
      <w:keepNext/>
      <w:spacing w:before="240" w:after="120"/>
    </w:pPr>
    <w:rPr>
      <w:rFonts w:ascii="Liberation Sans" w:eastAsia="Microsoft YaHei" w:hAnsi="Liberation Sans" w:cs="Mangal"/>
      <w:sz w:val="28"/>
      <w:szCs w:val="28"/>
    </w:rPr>
  </w:style>
  <w:style w:type="paragraph" w:styleId="Corpodetexto">
    <w:name w:val="Body Text"/>
    <w:basedOn w:val="Normal"/>
    <w:rsid w:val="00E221D7"/>
    <w:pPr>
      <w:spacing w:after="140" w:line="288" w:lineRule="auto"/>
    </w:pPr>
  </w:style>
  <w:style w:type="paragraph" w:styleId="Lista">
    <w:name w:val="List"/>
    <w:basedOn w:val="Corpodetexto"/>
    <w:rsid w:val="00E221D7"/>
    <w:rPr>
      <w:rFonts w:cs="Mangal"/>
    </w:rPr>
  </w:style>
  <w:style w:type="paragraph" w:customStyle="1" w:styleId="Legenda1">
    <w:name w:val="Legenda1"/>
    <w:basedOn w:val="Normal"/>
    <w:qFormat/>
    <w:rsid w:val="00E221D7"/>
    <w:pPr>
      <w:suppressLineNumbers/>
      <w:spacing w:before="120" w:after="120"/>
    </w:pPr>
    <w:rPr>
      <w:rFonts w:cs="Mangal"/>
      <w:i/>
      <w:iCs/>
      <w:sz w:val="24"/>
      <w:szCs w:val="24"/>
    </w:rPr>
  </w:style>
  <w:style w:type="paragraph" w:customStyle="1" w:styleId="ndice">
    <w:name w:val="Índice"/>
    <w:basedOn w:val="Normal"/>
    <w:qFormat/>
    <w:rsid w:val="00E221D7"/>
    <w:pPr>
      <w:suppressLineNumbers/>
    </w:pPr>
    <w:rPr>
      <w:rFonts w:cs="Mangal"/>
    </w:rPr>
  </w:style>
  <w:style w:type="paragraph" w:customStyle="1" w:styleId="CabealhoeRodap">
    <w:name w:val="Cabeçalho e Rodapé"/>
    <w:basedOn w:val="Normal"/>
    <w:qFormat/>
  </w:style>
  <w:style w:type="paragraph" w:styleId="Cabealho">
    <w:name w:val="header"/>
    <w:basedOn w:val="Normal"/>
    <w:link w:val="CabealhoChar1"/>
    <w:semiHidden/>
    <w:unhideWhenUsed/>
    <w:rsid w:val="00344B92"/>
    <w:pPr>
      <w:tabs>
        <w:tab w:val="center" w:pos="4252"/>
        <w:tab w:val="right" w:pos="8504"/>
      </w:tabs>
      <w:spacing w:after="0" w:line="240" w:lineRule="auto"/>
    </w:pPr>
  </w:style>
  <w:style w:type="paragraph" w:styleId="Rodap">
    <w:name w:val="footer"/>
    <w:basedOn w:val="Normal"/>
    <w:link w:val="RodapChar1"/>
    <w:uiPriority w:val="99"/>
    <w:unhideWhenUsed/>
    <w:rsid w:val="00344B9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16F02"/>
    <w:pPr>
      <w:spacing w:after="0" w:line="240" w:lineRule="auto"/>
    </w:pPr>
    <w:rPr>
      <w:rFonts w:ascii="Segoe UI" w:hAnsi="Segoe UI" w:cs="Segoe UI"/>
      <w:sz w:val="18"/>
      <w:szCs w:val="18"/>
    </w:rPr>
  </w:style>
  <w:style w:type="paragraph" w:styleId="PargrafodaLista">
    <w:name w:val="List Paragraph"/>
    <w:basedOn w:val="Normal"/>
    <w:uiPriority w:val="34"/>
    <w:qFormat/>
    <w:rsid w:val="005911D3"/>
    <w:pPr>
      <w:ind w:left="720"/>
      <w:contextualSpacing/>
    </w:pPr>
  </w:style>
  <w:style w:type="paragraph" w:styleId="EndereoHTML">
    <w:name w:val="HTML Address"/>
    <w:basedOn w:val="Normal"/>
    <w:link w:val="EndereoHTMLChar"/>
    <w:uiPriority w:val="99"/>
    <w:semiHidden/>
    <w:unhideWhenUsed/>
    <w:qFormat/>
    <w:rsid w:val="00C43639"/>
    <w:pPr>
      <w:spacing w:after="0" w:line="240" w:lineRule="auto"/>
    </w:pPr>
    <w:rPr>
      <w:rFonts w:ascii="Times New Roman" w:eastAsia="Times New Roman" w:hAnsi="Times New Roman" w:cs="Times New Roman"/>
      <w:i/>
      <w:iCs/>
      <w:color w:val="auto"/>
      <w:sz w:val="24"/>
      <w:szCs w:val="24"/>
      <w:lang w:eastAsia="pt-BR"/>
    </w:rPr>
  </w:style>
  <w:style w:type="paragraph" w:styleId="NormalWeb">
    <w:name w:val="Normal (Web)"/>
    <w:basedOn w:val="Normal"/>
    <w:uiPriority w:val="99"/>
    <w:unhideWhenUsed/>
    <w:qFormat/>
    <w:rsid w:val="00740D8D"/>
    <w:pPr>
      <w:spacing w:beforeAutospacing="1" w:afterAutospacing="1" w:line="240" w:lineRule="auto"/>
    </w:pPr>
    <w:rPr>
      <w:rFonts w:ascii="Times New Roman" w:eastAsia="Times New Roman" w:hAnsi="Times New Roman" w:cs="Times New Roman"/>
      <w:color w:val="auto"/>
      <w:sz w:val="24"/>
      <w:szCs w:val="24"/>
      <w:lang w:eastAsia="pt-BR"/>
    </w:rPr>
  </w:style>
  <w:style w:type="paragraph" w:styleId="Textodenotaderodap">
    <w:name w:val="footnote text"/>
    <w:basedOn w:val="Normal"/>
    <w:link w:val="TextodenotaderodapChar"/>
    <w:uiPriority w:val="99"/>
    <w:semiHidden/>
    <w:unhideWhenUsed/>
    <w:rsid w:val="00956406"/>
    <w:pPr>
      <w:spacing w:after="0" w:line="240" w:lineRule="auto"/>
    </w:pPr>
    <w:rPr>
      <w:rFonts w:eastAsia="Calibri" w:cs="Times New Roman"/>
      <w:color w:val="auto"/>
      <w:sz w:val="20"/>
      <w:szCs w:val="20"/>
      <w:lang w:eastAsia="en-US"/>
    </w:rPr>
  </w:style>
  <w:style w:type="paragraph" w:customStyle="1" w:styleId="western">
    <w:name w:val="western"/>
    <w:basedOn w:val="Normal"/>
    <w:qFormat/>
    <w:rsid w:val="00046F53"/>
    <w:pPr>
      <w:spacing w:beforeAutospacing="1" w:after="0" w:line="240" w:lineRule="auto"/>
      <w:jc w:val="both"/>
    </w:pPr>
    <w:rPr>
      <w:rFonts w:ascii="Times New Roman" w:eastAsia="Times New Roman" w:hAnsi="Times New Roman" w:cs="Times New Roman"/>
      <w:b/>
      <w:bCs/>
      <w:color w:val="000000"/>
      <w:sz w:val="28"/>
      <w:szCs w:val="28"/>
      <w:lang w:eastAsia="pt-BR"/>
    </w:rPr>
  </w:style>
  <w:style w:type="paragraph" w:customStyle="1" w:styleId="TableParagraph">
    <w:name w:val="Table Paragraph"/>
    <w:basedOn w:val="Normal"/>
    <w:qFormat/>
    <w:pPr>
      <w:spacing w:line="216" w:lineRule="exact"/>
    </w:pPr>
    <w:rPr>
      <w:rFonts w:ascii="Tahoma" w:eastAsia="Tahoma" w:hAnsi="Tahoma" w:cs="Tahoma"/>
      <w:lang w:val="pt-PT" w:eastAsia="en-US"/>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LO-Normal">
    <w:name w:val="LO-Normal"/>
    <w:qFormat/>
    <w:rPr>
      <w:rFonts w:eastAsiaTheme="minorHAnsi"/>
      <w:kern w:val="2"/>
      <w:sz w:val="22"/>
      <w:lang w:eastAsia="en-US"/>
      <w14:ligatures w14:val="standardContextual"/>
    </w:rPr>
  </w:style>
  <w:style w:type="table" w:styleId="Tabelacomgrade">
    <w:name w:val="Table Grid"/>
    <w:basedOn w:val="Tabelanormal"/>
    <w:uiPriority w:val="39"/>
    <w:rsid w:val="008410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59833-0E16-4EFC-8162-D23810452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2355</Words>
  <Characters>12719</Characters>
  <Application>Microsoft Office Word</Application>
  <DocSecurity>0</DocSecurity>
  <Lines>105</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KADRI FUMTUR</dc:creator>
  <dc:description/>
  <cp:lastModifiedBy>Jean Andre Nascimento</cp:lastModifiedBy>
  <cp:revision>5</cp:revision>
  <cp:lastPrinted>2026-04-22T11:57:00Z</cp:lastPrinted>
  <dcterms:created xsi:type="dcterms:W3CDTF">2026-04-17T18:24:00Z</dcterms:created>
  <dcterms:modified xsi:type="dcterms:W3CDTF">2026-05-12T18:18:00Z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